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9F" w:rsidRPr="00220D4C" w:rsidRDefault="00EB519F" w:rsidP="00EB519F">
      <w:pPr>
        <w:spacing w:after="75" w:line="288" w:lineRule="atLeast"/>
        <w:jc w:val="both"/>
        <w:outlineLvl w:val="1"/>
        <w:rPr>
          <w:rFonts w:ascii="Calibri" w:hAnsi="Calibri" w:cs="Calibri"/>
          <w:b/>
          <w:szCs w:val="22"/>
        </w:rPr>
      </w:pPr>
      <w:bookmarkStart w:id="0" w:name="_GoBack"/>
      <w:r w:rsidRPr="00220D4C">
        <w:rPr>
          <w:rFonts w:ascii="Calibri" w:hAnsi="Calibri" w:cs="Calibri"/>
          <w:b/>
          <w:sz w:val="28"/>
          <w:szCs w:val="22"/>
        </w:rPr>
        <w:t xml:space="preserve">Załącznik Nr 1 </w:t>
      </w:r>
      <w:r w:rsidRPr="00220D4C">
        <w:rPr>
          <w:rFonts w:ascii="Calibri" w:hAnsi="Calibri" w:cs="Calibri"/>
          <w:b/>
          <w:szCs w:val="22"/>
        </w:rPr>
        <w:t xml:space="preserve">do ogłoszenia o sprzedaży komory hiperbarycznej w trybie przetargu </w:t>
      </w:r>
    </w:p>
    <w:p w:rsidR="00EB519F" w:rsidRPr="00220D4C" w:rsidRDefault="00EB519F" w:rsidP="00EB519F">
      <w:pPr>
        <w:jc w:val="both"/>
        <w:rPr>
          <w:rFonts w:ascii="Calibri" w:hAnsi="Calibri" w:cs="Calibri"/>
          <w:b/>
          <w:szCs w:val="22"/>
        </w:rPr>
      </w:pPr>
    </w:p>
    <w:bookmarkEnd w:id="0"/>
    <w:p w:rsidR="00EB519F" w:rsidRPr="00220D4C" w:rsidRDefault="00EB519F" w:rsidP="00EB519F">
      <w:pPr>
        <w:spacing w:before="96"/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Cs w:val="22"/>
        </w:rPr>
        <w:t>Komora hiperbaryczna OXYSTAR 800</w:t>
      </w:r>
      <w:r w:rsidRPr="00220D4C">
        <w:rPr>
          <w:rFonts w:ascii="Calibri" w:hAnsi="Calibri" w:cs="Calibri"/>
          <w:b/>
          <w:sz w:val="22"/>
          <w:szCs w:val="22"/>
        </w:rPr>
        <w:t xml:space="preserve">, </w:t>
      </w:r>
    </w:p>
    <w:p w:rsidR="00EB519F" w:rsidRPr="00220D4C" w:rsidRDefault="00EB519F" w:rsidP="00EB519F">
      <w:pPr>
        <w:spacing w:before="96"/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Rok produkcji: 2012</w:t>
      </w:r>
    </w:p>
    <w:p w:rsidR="00EB519F" w:rsidRPr="00220D4C" w:rsidRDefault="00EB519F" w:rsidP="00EB519F">
      <w:pPr>
        <w:spacing w:before="96"/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 xml:space="preserve">Producent: </w:t>
      </w:r>
      <w:proofErr w:type="spellStart"/>
      <w:r w:rsidRPr="00220D4C">
        <w:rPr>
          <w:rFonts w:ascii="Calibri" w:hAnsi="Calibri" w:cs="Calibri"/>
          <w:b/>
          <w:sz w:val="22"/>
          <w:szCs w:val="22"/>
        </w:rPr>
        <w:t>Haux</w:t>
      </w:r>
      <w:proofErr w:type="spellEnd"/>
      <w:r w:rsidRPr="00220D4C">
        <w:rPr>
          <w:rFonts w:ascii="Calibri" w:hAnsi="Calibri" w:cs="Calibri"/>
          <w:b/>
          <w:sz w:val="22"/>
          <w:szCs w:val="22"/>
        </w:rPr>
        <w:t>-Life-</w:t>
      </w:r>
      <w:proofErr w:type="spellStart"/>
      <w:r w:rsidRPr="00220D4C">
        <w:rPr>
          <w:rFonts w:ascii="Calibri" w:hAnsi="Calibri" w:cs="Calibri"/>
          <w:b/>
          <w:sz w:val="22"/>
          <w:szCs w:val="22"/>
        </w:rPr>
        <w:t>Support</w:t>
      </w:r>
      <w:proofErr w:type="spellEnd"/>
      <w:r w:rsidRPr="00220D4C">
        <w:rPr>
          <w:rFonts w:ascii="Calibri" w:hAnsi="Calibri" w:cs="Calibri"/>
          <w:b/>
          <w:sz w:val="22"/>
          <w:szCs w:val="22"/>
        </w:rPr>
        <w:t xml:space="preserve"> GmbH,  Niemcy </w:t>
      </w:r>
    </w:p>
    <w:p w:rsidR="00EB519F" w:rsidRPr="00220D4C" w:rsidRDefault="00EB519F" w:rsidP="00EB519F">
      <w:pPr>
        <w:spacing w:before="96"/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Sprzedający wymaga dokonania przez Nabywcę demontażu.</w:t>
      </w:r>
    </w:p>
    <w:p w:rsidR="00EB519F" w:rsidRPr="00220D4C" w:rsidRDefault="00EB519F" w:rsidP="00EB519F">
      <w:pPr>
        <w:jc w:val="both"/>
        <w:rPr>
          <w:rFonts w:ascii="Calibri" w:hAnsi="Calibri" w:cs="Calibri"/>
          <w:b/>
          <w:sz w:val="22"/>
          <w:szCs w:val="22"/>
        </w:rPr>
      </w:pPr>
    </w:p>
    <w:p w:rsidR="00EB519F" w:rsidRPr="00220D4C" w:rsidRDefault="00EB519F" w:rsidP="00EB519F">
      <w:pPr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Opis komory hiperbarycznej – Używana.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System przechodził cykliczne przeglądy techniczne co 12 miesięcy i </w:t>
      </w:r>
      <w:r w:rsidRPr="00220D4C">
        <w:rPr>
          <w:rFonts w:ascii="Calibri" w:hAnsi="Calibri" w:cs="Calibri"/>
          <w:szCs w:val="22"/>
        </w:rPr>
        <w:t>objęty był opieką serwisową</w:t>
      </w:r>
      <w:r w:rsidRPr="00220D4C">
        <w:rPr>
          <w:rFonts w:ascii="Calibri" w:hAnsi="Calibri" w:cs="Calibri"/>
          <w:sz w:val="22"/>
          <w:szCs w:val="22"/>
        </w:rPr>
        <w:t>. Ostatni przegląd techniczny komory hiperbarycznej wykonany został 20.12.2021r. i waż</w:t>
      </w:r>
      <w:r>
        <w:rPr>
          <w:rFonts w:ascii="Calibri" w:hAnsi="Calibri" w:cs="Calibri"/>
          <w:sz w:val="22"/>
          <w:szCs w:val="22"/>
        </w:rPr>
        <w:t>n</w:t>
      </w:r>
      <w:r w:rsidRPr="00220D4C">
        <w:rPr>
          <w:rFonts w:ascii="Calibri" w:hAnsi="Calibri" w:cs="Calibri"/>
          <w:sz w:val="22"/>
          <w:szCs w:val="22"/>
        </w:rPr>
        <w:t>y był przez okres 12 miesięcy. Podczas rocznej inspekcji systemu sprawdzono n/w elementy układu: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Instalacja elektryczna,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Rozdzielnica,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UPS,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Pneumatyczny pulpit sterujący,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Główny pulpit sterujący,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Komunikacja,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Zasilanie gazem,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Komora ciśnieniowa,</w:t>
      </w:r>
    </w:p>
    <w:p w:rsidR="00EB519F" w:rsidRPr="00220D4C" w:rsidRDefault="00EB519F" w:rsidP="00EB519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System oddechowy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Sprawny system oddano do eksploatacji. W grudniu 2022r. należało wykonać kolejny przegląd techniczny, który uwarunkowany </w:t>
      </w:r>
      <w:r w:rsidRPr="0067220C">
        <w:rPr>
          <w:rFonts w:ascii="Calibri" w:hAnsi="Calibri" w:cs="Calibri"/>
          <w:sz w:val="22"/>
          <w:szCs w:val="22"/>
        </w:rPr>
        <w:t>był koniecznością wymiany cylindra akrylowego (wymagana wymiana po 10 latach zgodnie z DTR). System został wycofany z użytkowania z powodu braku zasadności wymiany ze względu na niskie wykorzystanie komory hiperbarycznej.</w:t>
      </w:r>
      <w:r w:rsidRPr="00220D4C">
        <w:rPr>
          <w:rFonts w:ascii="Calibri" w:hAnsi="Calibri" w:cs="Calibri"/>
          <w:sz w:val="22"/>
          <w:szCs w:val="22"/>
        </w:rPr>
        <w:t xml:space="preserve">  </w:t>
      </w:r>
    </w:p>
    <w:p w:rsidR="00EB519F" w:rsidRPr="00220D4C" w:rsidRDefault="00EB519F" w:rsidP="00EB519F">
      <w:pPr>
        <w:jc w:val="both"/>
        <w:rPr>
          <w:rFonts w:ascii="Calibri" w:hAnsi="Calibri" w:cs="Calibri"/>
          <w:b/>
          <w:sz w:val="22"/>
          <w:szCs w:val="22"/>
        </w:rPr>
      </w:pPr>
    </w:p>
    <w:p w:rsidR="00EB519F" w:rsidRPr="00220D4C" w:rsidRDefault="00EB519F" w:rsidP="00EB519F">
      <w:pPr>
        <w:jc w:val="both"/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Terapeutyczna komora typu MONOPLACE typu HAUX-OXYSTAR 800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 xml:space="preserve">Kompaktowa stacja kontroli  - </w:t>
      </w:r>
      <w:r w:rsidRPr="00220D4C">
        <w:rPr>
          <w:rFonts w:ascii="Calibri" w:hAnsi="Calibri" w:cs="Calibri"/>
          <w:sz w:val="22"/>
          <w:szCs w:val="22"/>
        </w:rPr>
        <w:t>opcjonalnie z komputerowym systemem nadzorowania  ciśnienia w komorze systemem monitorowania i zapisu HAUX-DECOSUPPORT.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Kabina komory</w:t>
      </w:r>
      <w:r w:rsidRPr="00220D4C">
        <w:rPr>
          <w:rFonts w:ascii="Calibri" w:hAnsi="Calibri" w:cs="Calibri"/>
          <w:sz w:val="22"/>
          <w:szCs w:val="22"/>
        </w:rPr>
        <w:t xml:space="preserve"> – Cylindryczna pozioma kabina ciśnieniowa wykonana w technologii HAUX-FLAT-WALL. Przy takich samych wymiarach zewnętrznych rozwiązanie to oferuje większą przestrzeń dla pacjenta niż w tradycyjnych komorach </w:t>
      </w:r>
      <w:proofErr w:type="spellStart"/>
      <w:r w:rsidRPr="00220D4C">
        <w:rPr>
          <w:rFonts w:ascii="Calibri" w:hAnsi="Calibri" w:cs="Calibri"/>
          <w:sz w:val="22"/>
          <w:szCs w:val="22"/>
        </w:rPr>
        <w:t>wypukłodennych</w:t>
      </w:r>
      <w:proofErr w:type="spellEnd"/>
      <w:r w:rsidRPr="00220D4C">
        <w:rPr>
          <w:rFonts w:ascii="Calibri" w:hAnsi="Calibri" w:cs="Calibri"/>
          <w:sz w:val="22"/>
          <w:szCs w:val="22"/>
        </w:rPr>
        <w:t xml:space="preserve">. 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Wewnątrz komory instalowana jest minimalna ilość urządzeń.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Wymiary komory: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760mm wewnętrzna średnica, 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2200 mm długość od ściany do wieka,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Kabina ciśnieniowa i części mocujące wykonane są z metalu. Maksymalną możliwość obserwacji pacjenta uzyskano dzięki wykonaniu przedniej części kabiny ciśnieniowej ze szkła akrylowego.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Zamknięcie komory – W gładkich drzwiach zamontowane są zawiasy mostkowe, które łatwo i szybko otwierane są za pomocą dwóch pokręteł na umocowanych zawiasowo trzpieniach obrotowych. Proste urządzenie uniemożliwia uruchomienie pokręteł otwierających komorę aż do momentu całkowitej </w:t>
      </w:r>
      <w:proofErr w:type="spellStart"/>
      <w:r w:rsidRPr="00220D4C">
        <w:rPr>
          <w:rFonts w:ascii="Calibri" w:hAnsi="Calibri" w:cs="Calibri"/>
          <w:sz w:val="22"/>
          <w:szCs w:val="22"/>
        </w:rPr>
        <w:t>dekompresacji</w:t>
      </w:r>
      <w:proofErr w:type="spellEnd"/>
      <w:r w:rsidRPr="00220D4C">
        <w:rPr>
          <w:rFonts w:ascii="Calibri" w:hAnsi="Calibri" w:cs="Calibri"/>
          <w:sz w:val="22"/>
          <w:szCs w:val="22"/>
        </w:rPr>
        <w:t xml:space="preserve"> komory. Elementem uszczelniającym jest uszczelka wargowa reagująca na najmniejsze zmiany ciśnienia. Kąt otwarcia drzwi jest większy niż 180°, dzięki temu przy umieszczaniu pacjenta w komorze dostępna jest pełna średnica komory. W sytuacjach awaryjnych można dokonać ręcznej </w:t>
      </w:r>
      <w:proofErr w:type="spellStart"/>
      <w:r w:rsidRPr="00220D4C">
        <w:rPr>
          <w:rFonts w:ascii="Calibri" w:hAnsi="Calibri" w:cs="Calibri"/>
          <w:sz w:val="22"/>
          <w:szCs w:val="22"/>
        </w:rPr>
        <w:t>dekompresacji</w:t>
      </w:r>
      <w:proofErr w:type="spellEnd"/>
      <w:r w:rsidRPr="00220D4C">
        <w:rPr>
          <w:rFonts w:ascii="Calibri" w:hAnsi="Calibri" w:cs="Calibri"/>
          <w:sz w:val="22"/>
          <w:szCs w:val="22"/>
        </w:rPr>
        <w:t xml:space="preserve"> komory od wartości 2,0 bar (=3,0 bar absolutne) w ciągu 60 sekund.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Przednia część kabiny ciśnieniowej (na głowę i ciało) wykonana jest ze szkła akrylowego, druga część (na nogi) wykonana ze stali nierdzewnej.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Podstawę komory stanowi konstrukcja z płyty stalowej z profilami wzmacniającymi. Wszystkie mocowania pneumatyczne oraz urządzenia do ręcznej obsługi i kontroli umieszczone są na wystającej części podstawy mającej kształt pulpitu. Jednocześnie konstrukcja stanowi podłoże dla podwozia i w swych czterech narożnikach mieści duże wałki sterujące. Dzięki nim komorę można z łatwością </w:t>
      </w:r>
      <w:r w:rsidRPr="00220D4C">
        <w:rPr>
          <w:rFonts w:ascii="Calibri" w:hAnsi="Calibri" w:cs="Calibri"/>
          <w:sz w:val="22"/>
          <w:szCs w:val="22"/>
        </w:rPr>
        <w:lastRenderedPageBreak/>
        <w:t>transportować po odłączeniu przewodów zasilających i odprowadzających. Ponieważ zewnętrzne wymiary komory są stosunkowo niewielkie (szerokość poniżej 1100 mm) komora mieści się w drzwiach o standardowych wymiarach. Całkowita waga w pełni wyposażonej komory wynosi ok. 800 kg., co nie jest zbyt dużym obciążeniem dla stropu.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Sterowanie i nadzór</w:t>
      </w:r>
      <w:r w:rsidRPr="00220D4C">
        <w:rPr>
          <w:rFonts w:ascii="Calibri" w:hAnsi="Calibri" w:cs="Calibri"/>
          <w:sz w:val="22"/>
          <w:szCs w:val="22"/>
        </w:rPr>
        <w:t xml:space="preserve"> – Podstawowa wersja HAUX-OXYSTAR-800 posiada sterowanie ręczne. Komputerowe sterowanie oferowane w wersji HAUX-DECOSUPPORT opiera się na wersji podstawowej.  Wybieralne profile ciśnieniowo czasowe mogą być obsługiwane w pełni automatycznie lub wybrany profil można dowolnie zaprogramować.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 xml:space="preserve">Komora HAUX-OXYSTAR napełniana jest powietrzem (lub opcjonalnie tlenem) do wartości maksymalnej ciśnienia roboczego 2,0 bar. Jeżeli komora wypełniona jest powietrzem, zalecamy, by pacjent wdychał tlen przez półmaskę z bezpiecznym systemem odprowadzania wilgoci. Taki sposób obsługi gwarantuje należyte zminimalizowanie niebezpieczeństwa pożaru, gdyż wydychany tlen jest odprowadzany bezpośrednio poza komorę. Stężenie tlenu (O2-Vol%) wewnątrz komory można w każdym  czasie utrzymać na poziomie nie większym niż 23 Vol%. 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sz w:val="22"/>
          <w:szCs w:val="22"/>
        </w:rPr>
        <w:t>Doprowadzanie i odprowadzanie gazu kontrolowane jest za pomocą zaworów HAUX-STARVALVE. Te sterowane krzywką zawory są umieszczone na pulpicie kontrolnym i mogą być wygodnie obsługiwane przez operatora z pozycji siedzącej. Sterowanie krzywką umożliwia dokonywanie zmian ciśnienia bardzo małymi skokami. Duży tłumik dźwięków jest umieszczony bezpośrednio naprzeciw wejścia do komory – dzięki temu nawet stosunkowo szybki wzrost ciśnienia wywołuje tylko minimalny poziom dźwięku wewnątrz komory. Dekompresję przeprowadza się przesuwając drążek zaworu w przeciwną stronę. Tłumik wyjściowy umieszczony jest w zaworze odprowadzającym gaz na zewnątrz komory. Zużyty tlen odprowadzany jest na zewnątrz przez przewód wylotowy (wymiary minimalne: 42mm x 1,5mm).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Dekompresja awaryjna</w:t>
      </w:r>
      <w:r w:rsidRPr="00220D4C">
        <w:rPr>
          <w:rFonts w:ascii="Calibri" w:hAnsi="Calibri" w:cs="Calibri"/>
          <w:sz w:val="22"/>
          <w:szCs w:val="22"/>
        </w:rPr>
        <w:t xml:space="preserve"> – można dokonać ręcznej </w:t>
      </w:r>
      <w:proofErr w:type="spellStart"/>
      <w:r w:rsidRPr="00220D4C">
        <w:rPr>
          <w:rFonts w:ascii="Calibri" w:hAnsi="Calibri" w:cs="Calibri"/>
          <w:sz w:val="22"/>
          <w:szCs w:val="22"/>
        </w:rPr>
        <w:t>dekompresacji</w:t>
      </w:r>
      <w:proofErr w:type="spellEnd"/>
      <w:r w:rsidRPr="00220D4C">
        <w:rPr>
          <w:rFonts w:ascii="Calibri" w:hAnsi="Calibri" w:cs="Calibri"/>
          <w:sz w:val="22"/>
          <w:szCs w:val="22"/>
        </w:rPr>
        <w:t xml:space="preserve"> komory od wartości 2,0bar (=3,0 bar absolutne) w ciągu 60 sekund. Jest to najkrótszy czas, w jakim można uzyskać swobodny dostęp do pacjenta.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Wentylacja powietrzem/tlenem</w:t>
      </w:r>
      <w:r w:rsidRPr="00220D4C">
        <w:rPr>
          <w:rFonts w:ascii="Calibri" w:hAnsi="Calibri" w:cs="Calibri"/>
          <w:sz w:val="22"/>
          <w:szCs w:val="22"/>
        </w:rPr>
        <w:t xml:space="preserve"> – Otwarta cyrkulacja gwarantuje prostą i bezpieczną obsługę komory HAUX-OXYSTAR-800. Komora jest skutecznie napełniana gazem i oczyszczana z CO2 oraz pary wodnej dzięki dobrej wentylacji powietrzem / tlenem. Ciśnienie cząstkowe CO2 jest utrzymywane na dostatecznie niskim poziomie dzięki wentylacji o wartości 30/min/bar. Możliwe jest osiągnięcie wyższych wartości, jeśli na przykład konieczne jest uzyskanie lepszego odprowadzania pary wodnej. Wartość wentylacji ustawia się zaworem HAUX-VENTMASTER będącym częścią systemu odprowadzającego. Podstawowe parametry ustawia się skali na początku pracy z komorą – wówczas odpowiednia wartość wentylacji jest dostosowywana automatycznie do każdej wartości ciśnienia. Ciśnienie jest zwiększane i zmniejszane za pomocą HAUX-STARVALVE. Dzięki wentylacji także temperatura i wilgotność są utrzymywane na odpowiednim poziomie.</w:t>
      </w:r>
    </w:p>
    <w:p w:rsidR="00EB519F" w:rsidRPr="00220D4C" w:rsidRDefault="00EB519F" w:rsidP="00EB519F">
      <w:pPr>
        <w:jc w:val="both"/>
        <w:rPr>
          <w:rFonts w:ascii="Calibri" w:hAnsi="Calibri" w:cs="Calibri"/>
          <w:sz w:val="22"/>
          <w:szCs w:val="22"/>
        </w:rPr>
      </w:pPr>
    </w:p>
    <w:p w:rsidR="00EB519F" w:rsidRPr="00220D4C" w:rsidRDefault="00EB519F" w:rsidP="00EB519F">
      <w:pPr>
        <w:rPr>
          <w:rFonts w:ascii="Calibri" w:hAnsi="Calibri" w:cs="Calibri"/>
          <w:b/>
          <w:sz w:val="22"/>
          <w:szCs w:val="22"/>
        </w:rPr>
      </w:pPr>
      <w:r w:rsidRPr="00220D4C">
        <w:rPr>
          <w:rFonts w:ascii="Calibri" w:hAnsi="Calibri" w:cs="Calibri"/>
          <w:b/>
          <w:sz w:val="22"/>
          <w:szCs w:val="22"/>
        </w:rPr>
        <w:t>PODSTAWOWE PARAMETRY TECHNICZNE</w:t>
      </w:r>
    </w:p>
    <w:p w:rsidR="00EB519F" w:rsidRPr="00220D4C" w:rsidRDefault="00EB519F" w:rsidP="00EB519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512"/>
      </w:tblGrid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 xml:space="preserve">Maksymalne </w:t>
            </w:r>
            <w:proofErr w:type="spellStart"/>
            <w:r w:rsidRPr="00220D4C">
              <w:rPr>
                <w:rFonts w:ascii="Calibri" w:hAnsi="Calibri" w:cs="Calibri"/>
                <w:sz w:val="22"/>
                <w:szCs w:val="22"/>
              </w:rPr>
              <w:t>nadciśninie</w:t>
            </w:r>
            <w:proofErr w:type="spellEnd"/>
            <w:r w:rsidRPr="00220D4C">
              <w:rPr>
                <w:rFonts w:ascii="Calibri" w:hAnsi="Calibri" w:cs="Calibri"/>
                <w:sz w:val="22"/>
                <w:szCs w:val="22"/>
              </w:rPr>
              <w:t xml:space="preserve"> robocze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2,03 bar (=3,0 absolutne)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 xml:space="preserve">Maksymalne </w:t>
            </w:r>
            <w:proofErr w:type="spellStart"/>
            <w:r w:rsidRPr="00220D4C">
              <w:rPr>
                <w:rFonts w:ascii="Calibri" w:hAnsi="Calibri" w:cs="Calibri"/>
                <w:sz w:val="22"/>
                <w:szCs w:val="22"/>
              </w:rPr>
              <w:t>nadciśninie</w:t>
            </w:r>
            <w:proofErr w:type="spellEnd"/>
            <w:r w:rsidRPr="00220D4C">
              <w:rPr>
                <w:rFonts w:ascii="Calibri" w:hAnsi="Calibri" w:cs="Calibri"/>
                <w:sz w:val="22"/>
                <w:szCs w:val="22"/>
              </w:rPr>
              <w:t xml:space="preserve"> testowe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3,00 bar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Ilość miejsc w komorze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1 leżąca osoba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Wewnętrzna średnica komory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760 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Wewnętrzna długość komory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2200mm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Pojemność komory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1050l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Całkowita długość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2360 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Całkowita szerokość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1070 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Całkowita wysokość (z lampami)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1456 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Materiał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Metal + szkło akrylowe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Ilość drzwi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220D4C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Drzwi okrągłe, średnica światła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70 mm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Moc elektryczna przyłączeniowa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Ca. 1500 Wat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lastRenderedPageBreak/>
              <w:t>Napięcie elektryczne przyłączeniowe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220 Volt 50Hz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Instytucja nadzorująca /certyfikująca (kabina komory)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German TUV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(urządzenie medyczne, zgodnie z MPG)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Certyfikacja CE zgodnie z dyrektywą europejską dla zbiorników ciśnieniowych</w:t>
            </w:r>
          </w:p>
        </w:tc>
      </w:tr>
      <w:tr w:rsidR="00EB519F" w:rsidRPr="00220D4C" w:rsidTr="00747761">
        <w:tc>
          <w:tcPr>
            <w:tcW w:w="3062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Waga – komora z pełnym wyposażeniem</w:t>
            </w:r>
          </w:p>
        </w:tc>
        <w:tc>
          <w:tcPr>
            <w:tcW w:w="1938" w:type="pct"/>
            <w:shd w:val="clear" w:color="auto" w:fill="auto"/>
          </w:tcPr>
          <w:p w:rsidR="00EB519F" w:rsidRPr="00220D4C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 w:rsidRPr="00220D4C">
              <w:rPr>
                <w:rFonts w:ascii="Calibri" w:hAnsi="Calibri" w:cs="Calibri"/>
                <w:sz w:val="22"/>
                <w:szCs w:val="22"/>
              </w:rPr>
              <w:t>ok. 800 kg</w:t>
            </w:r>
          </w:p>
        </w:tc>
      </w:tr>
    </w:tbl>
    <w:p w:rsidR="00EB519F" w:rsidRDefault="00EB519F" w:rsidP="00EB519F">
      <w:pPr>
        <w:rPr>
          <w:rFonts w:ascii="Arial" w:hAnsi="Arial" w:cs="Arial"/>
          <w:sz w:val="22"/>
          <w:szCs w:val="22"/>
        </w:rPr>
      </w:pPr>
    </w:p>
    <w:p w:rsidR="00EB519F" w:rsidRDefault="00EB519F" w:rsidP="00EB519F">
      <w:pPr>
        <w:rPr>
          <w:rFonts w:ascii="Arial" w:hAnsi="Arial" w:cs="Arial"/>
          <w:b/>
          <w:sz w:val="22"/>
          <w:szCs w:val="22"/>
        </w:rPr>
      </w:pPr>
      <w:r w:rsidRPr="005D7545">
        <w:rPr>
          <w:rFonts w:ascii="Arial" w:hAnsi="Arial" w:cs="Arial"/>
          <w:b/>
          <w:sz w:val="22"/>
          <w:szCs w:val="22"/>
        </w:rPr>
        <w:t>Elementy będące na wyposażeniu komory hiperbarycznej: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109"/>
        <w:gridCol w:w="1682"/>
        <w:gridCol w:w="1316"/>
        <w:gridCol w:w="2327"/>
      </w:tblGrid>
      <w:tr w:rsidR="00EB519F" w:rsidTr="00747761">
        <w:trPr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Seryjny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Komora hiperbaryczna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201201    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OXYSTAR 800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Wózek transportowy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1203030988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Drukarka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CN26E29P5M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 DJ1000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Respirator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IP0002 CR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Siaretron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1000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Pompa infuzyjna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016117/21570718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Fresenius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Pilot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Hyperbaric</w:t>
            </w:r>
            <w:proofErr w:type="spellEnd"/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Wózek transportowy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1203030990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Centrala do modułów monitorowania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1207-1011-0070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11C788VGE0001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Szafa elektryczna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brak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GF192A0537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9130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Terminal systemu monitorowania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2CE2410953</w:t>
            </w: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Hpelife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book2760p</w:t>
            </w:r>
          </w:p>
        </w:tc>
      </w:tr>
      <w:tr w:rsidR="00EB519F" w:rsidTr="00747761">
        <w:trPr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Spirometr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106696/2012</w:t>
            </w: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9F" w:rsidRDefault="00EB519F" w:rsidP="007477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2001</w:t>
            </w:r>
          </w:p>
        </w:tc>
      </w:tr>
    </w:tbl>
    <w:p w:rsidR="00EB519F" w:rsidRPr="00396753" w:rsidRDefault="00EB519F" w:rsidP="00EB519F">
      <w:pPr>
        <w:rPr>
          <w:rFonts w:ascii="Arial" w:hAnsi="Arial" w:cs="Arial"/>
          <w:sz w:val="22"/>
          <w:szCs w:val="22"/>
        </w:rPr>
      </w:pPr>
    </w:p>
    <w:p w:rsidR="00A479BD" w:rsidRDefault="00EB519F"/>
    <w:sectPr w:rsidR="00A479BD" w:rsidSect="004E27A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48EF"/>
    <w:multiLevelType w:val="hybridMultilevel"/>
    <w:tmpl w:val="6284C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9F"/>
    <w:rsid w:val="006542A4"/>
    <w:rsid w:val="009637C6"/>
    <w:rsid w:val="00E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6126B-A614-42A6-8466-9776889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1</cp:revision>
  <dcterms:created xsi:type="dcterms:W3CDTF">2024-06-21T10:58:00Z</dcterms:created>
  <dcterms:modified xsi:type="dcterms:W3CDTF">2024-06-21T10:58:00Z</dcterms:modified>
</cp:coreProperties>
</file>