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5B4DBED2" w:rsidR="00D95554" w:rsidRPr="00292978" w:rsidRDefault="003E0481" w:rsidP="00292978">
      <w:pPr>
        <w:pStyle w:val="Nagwek7"/>
        <w:rPr>
          <w:i w:val="0"/>
          <w:sz w:val="28"/>
        </w:rPr>
      </w:pPr>
      <w:bookmarkStart w:id="0" w:name="_GoBack"/>
      <w:r w:rsidRPr="00292978">
        <w:rPr>
          <w:i w:val="0"/>
          <w:sz w:val="28"/>
        </w:rPr>
        <w:t>Dieta w okresie rekonwalescen</w:t>
      </w:r>
      <w:r w:rsidR="00091BED">
        <w:rPr>
          <w:i w:val="0"/>
          <w:sz w:val="28"/>
        </w:rPr>
        <w:t>cji - jak wspierać gojenie ran</w:t>
      </w:r>
    </w:p>
    <w:bookmarkEnd w:id="0"/>
    <w:p w14:paraId="00000002" w14:textId="77777777" w:rsidR="00D95554" w:rsidRDefault="00D95554">
      <w:pPr>
        <w:spacing w:line="360" w:lineRule="auto"/>
        <w:ind w:firstLine="720"/>
        <w:jc w:val="both"/>
      </w:pPr>
    </w:p>
    <w:p w14:paraId="00000007" w14:textId="58284378"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 xml:space="preserve">Każde przerwanie ciągłości tkanek zwiększa zapotrzebowanie białkowo-energetyczne pacjenta. W zależności od rodzaju rany, rozległości oraz mechanizmu jej powstania czas gojenia może być zróżnicowany. Odpowiednie postępowanie żywieniowe, szczególnie w okresie rekonwalescencji, odgrywa kluczową rolę w procesie prawidłowego gojenia ran. </w:t>
      </w:r>
      <w:r w:rsidRPr="000F62CD">
        <w:rPr>
          <w:rFonts w:asciiTheme="majorHAnsi" w:hAnsiTheme="majorHAnsi" w:cstheme="majorHAnsi"/>
        </w:rPr>
        <w:br/>
        <w:t xml:space="preserve">Warto zaznaczyć, że zapotrzebowanie białkowo-energetyczne zmienia się w zależności od </w:t>
      </w:r>
      <w:r w:rsidR="00292978" w:rsidRPr="000F62CD">
        <w:rPr>
          <w:rFonts w:asciiTheme="majorHAnsi" w:hAnsiTheme="majorHAnsi" w:cstheme="majorHAnsi"/>
        </w:rPr>
        <w:t>aktualnego</w:t>
      </w:r>
      <w:r w:rsidRPr="000F62CD">
        <w:rPr>
          <w:rFonts w:asciiTheme="majorHAnsi" w:hAnsiTheme="majorHAnsi" w:cstheme="majorHAnsi"/>
        </w:rPr>
        <w:t xml:space="preserve"> stanu odżywienia pacjenta</w:t>
      </w:r>
      <w:r w:rsidR="00292978" w:rsidRPr="000F62CD">
        <w:rPr>
          <w:rFonts w:asciiTheme="majorHAnsi" w:hAnsiTheme="majorHAnsi" w:cstheme="majorHAnsi"/>
        </w:rPr>
        <w:t xml:space="preserve">. </w:t>
      </w:r>
      <w:r w:rsidRPr="000F62CD">
        <w:rPr>
          <w:rFonts w:asciiTheme="majorHAnsi" w:hAnsiTheme="majorHAnsi" w:cstheme="majorHAnsi"/>
        </w:rPr>
        <w:t xml:space="preserve">Występowanie ran przewlekłych może znacząco wpływać na zwiększenie zapotrzebowania energetycznego (do 35-40 kcal/kg </w:t>
      </w:r>
      <w:proofErr w:type="spellStart"/>
      <w:r w:rsidRPr="000F62CD">
        <w:rPr>
          <w:rFonts w:asciiTheme="majorHAnsi" w:hAnsiTheme="majorHAnsi" w:cstheme="majorHAnsi"/>
        </w:rPr>
        <w:t>m.c</w:t>
      </w:r>
      <w:proofErr w:type="spellEnd"/>
      <w:r w:rsidRPr="000F62CD">
        <w:rPr>
          <w:rFonts w:asciiTheme="majorHAnsi" w:hAnsiTheme="majorHAnsi" w:cstheme="majorHAnsi"/>
        </w:rPr>
        <w:t xml:space="preserve">.) oraz białkowego organizmu (do 1,5-2 g/kg </w:t>
      </w:r>
      <w:proofErr w:type="spellStart"/>
      <w:r w:rsidRPr="000F62CD">
        <w:rPr>
          <w:rFonts w:asciiTheme="majorHAnsi" w:hAnsiTheme="majorHAnsi" w:cstheme="majorHAnsi"/>
        </w:rPr>
        <w:t>m.c</w:t>
      </w:r>
      <w:proofErr w:type="spellEnd"/>
      <w:r w:rsidRPr="000F62CD">
        <w:rPr>
          <w:rFonts w:asciiTheme="majorHAnsi" w:hAnsiTheme="majorHAnsi" w:cstheme="majorHAnsi"/>
        </w:rPr>
        <w:t>.).</w:t>
      </w:r>
    </w:p>
    <w:p w14:paraId="0000000A" w14:textId="790218F9"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ab/>
        <w:t>Dostarczenie wraz z dietą podstawowych składników odżywczych tj. białka, tłuszcze, węglowodany, witaminy i składniki mineralne jest kluczowe w procesie prawidłowego gojenia ran, jednak coraz częściej podkreśla się istotne znaczenie składników poprawiających funkcjonowanie układu odpornościowego, a także stymulujących procesy gojenia tj. cynk</w:t>
      </w:r>
      <w:r w:rsidR="00292978" w:rsidRPr="000F62CD">
        <w:rPr>
          <w:rFonts w:asciiTheme="majorHAnsi" w:hAnsiTheme="majorHAnsi" w:cstheme="majorHAnsi"/>
        </w:rPr>
        <w:t>u</w:t>
      </w:r>
      <w:r w:rsidRPr="000F62CD">
        <w:rPr>
          <w:rFonts w:asciiTheme="majorHAnsi" w:hAnsiTheme="majorHAnsi" w:cstheme="majorHAnsi"/>
        </w:rPr>
        <w:t>, selen</w:t>
      </w:r>
      <w:r w:rsidR="00292978" w:rsidRPr="000F62CD">
        <w:rPr>
          <w:rFonts w:asciiTheme="majorHAnsi" w:hAnsiTheme="majorHAnsi" w:cstheme="majorHAnsi"/>
        </w:rPr>
        <w:t>u</w:t>
      </w:r>
      <w:r w:rsidRPr="000F62CD">
        <w:rPr>
          <w:rFonts w:asciiTheme="majorHAnsi" w:hAnsiTheme="majorHAnsi" w:cstheme="majorHAnsi"/>
        </w:rPr>
        <w:t>, nie</w:t>
      </w:r>
      <w:r w:rsidR="00292978" w:rsidRPr="000F62CD">
        <w:rPr>
          <w:rFonts w:asciiTheme="majorHAnsi" w:hAnsiTheme="majorHAnsi" w:cstheme="majorHAnsi"/>
        </w:rPr>
        <w:t xml:space="preserve">których aminokwasów (np. argininy, glutaminy), witamina A, witaminy C oraz kwasów tłuszczowych </w:t>
      </w:r>
      <w:r w:rsidRPr="000F62CD">
        <w:rPr>
          <w:rFonts w:asciiTheme="majorHAnsi" w:hAnsiTheme="majorHAnsi" w:cstheme="majorHAnsi"/>
        </w:rPr>
        <w:t xml:space="preserve">omega-3. </w:t>
      </w:r>
    </w:p>
    <w:p w14:paraId="0000000B" w14:textId="7777777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sz w:val="24"/>
          <w:szCs w:val="24"/>
        </w:rPr>
        <w:t>CYNK</w:t>
      </w:r>
      <w:r w:rsidRPr="000F62CD">
        <w:rPr>
          <w:rFonts w:asciiTheme="majorHAnsi" w:hAnsiTheme="majorHAnsi" w:cstheme="majorHAnsi"/>
        </w:rPr>
        <w:t xml:space="preserve"> </w:t>
      </w:r>
    </w:p>
    <w:p w14:paraId="0000000D" w14:textId="60850390"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 xml:space="preserve">Jeden z mikroelementów niezbędnych w procesie prawidłowego podziału i wzrostu komórek, w tym także komórek skóry, co może znacząco wpływać na poprawę procesów gojenia ran. Wspiera działanie układu odpornościowego oraz bierze udział w kontroli stanu zapalnego, w przypadku </w:t>
      </w:r>
      <w:r w:rsidR="00292978" w:rsidRPr="000F62CD">
        <w:rPr>
          <w:rFonts w:asciiTheme="majorHAnsi" w:hAnsiTheme="majorHAnsi" w:cstheme="majorHAnsi"/>
        </w:rPr>
        <w:t>wystąpienia zakażenia rany</w:t>
      </w:r>
      <w:r w:rsidRPr="000F62CD">
        <w:rPr>
          <w:rFonts w:asciiTheme="majorHAnsi" w:hAnsiTheme="majorHAnsi" w:cstheme="majorHAnsi"/>
        </w:rPr>
        <w:t>.</w:t>
      </w:r>
    </w:p>
    <w:p w14:paraId="0000000E" w14:textId="7777777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Produkty bogate w cynk:</w:t>
      </w:r>
    </w:p>
    <w:p w14:paraId="0000000F" w14:textId="77777777" w:rsidR="00D95554" w:rsidRPr="000F62CD" w:rsidRDefault="003E0481">
      <w:pPr>
        <w:numPr>
          <w:ilvl w:val="0"/>
          <w:numId w:val="8"/>
        </w:numPr>
        <w:spacing w:line="360" w:lineRule="auto"/>
        <w:jc w:val="both"/>
        <w:rPr>
          <w:rFonts w:asciiTheme="majorHAnsi" w:hAnsiTheme="majorHAnsi" w:cstheme="majorHAnsi"/>
        </w:rPr>
      </w:pPr>
      <w:r w:rsidRPr="000F62CD">
        <w:rPr>
          <w:rFonts w:asciiTheme="majorHAnsi" w:hAnsiTheme="majorHAnsi" w:cstheme="majorHAnsi"/>
        </w:rPr>
        <w:t>mięso i owoce morza: ostrygi, wątróbka wołowa, wątróbka cielęca, chuda wołowina</w:t>
      </w:r>
    </w:p>
    <w:p w14:paraId="00000010" w14:textId="77777777" w:rsidR="00D95554" w:rsidRPr="000F62CD" w:rsidRDefault="003E0481">
      <w:pPr>
        <w:numPr>
          <w:ilvl w:val="0"/>
          <w:numId w:val="8"/>
        </w:numPr>
        <w:spacing w:line="360" w:lineRule="auto"/>
        <w:jc w:val="both"/>
        <w:rPr>
          <w:rFonts w:asciiTheme="majorHAnsi" w:hAnsiTheme="majorHAnsi" w:cstheme="majorHAnsi"/>
        </w:rPr>
      </w:pPr>
      <w:r w:rsidRPr="000F62CD">
        <w:rPr>
          <w:rFonts w:asciiTheme="majorHAnsi" w:hAnsiTheme="majorHAnsi" w:cstheme="majorHAnsi"/>
        </w:rPr>
        <w:t>jaja, sery żółte (w ograniczonych ilościach)</w:t>
      </w:r>
    </w:p>
    <w:p w14:paraId="00000011" w14:textId="77777777" w:rsidR="00D95554" w:rsidRPr="000F62CD" w:rsidRDefault="003E0481">
      <w:pPr>
        <w:numPr>
          <w:ilvl w:val="0"/>
          <w:numId w:val="8"/>
        </w:numPr>
        <w:spacing w:line="360" w:lineRule="auto"/>
        <w:jc w:val="both"/>
        <w:rPr>
          <w:rFonts w:asciiTheme="majorHAnsi" w:hAnsiTheme="majorHAnsi" w:cstheme="majorHAnsi"/>
        </w:rPr>
      </w:pPr>
      <w:r w:rsidRPr="000F62CD">
        <w:rPr>
          <w:rFonts w:asciiTheme="majorHAnsi" w:hAnsiTheme="majorHAnsi" w:cstheme="majorHAnsi"/>
        </w:rPr>
        <w:t>nasiona roślin strączkowych: fasola biała, soczewica, groch</w:t>
      </w:r>
    </w:p>
    <w:p w14:paraId="00000012" w14:textId="77777777" w:rsidR="00D95554" w:rsidRPr="000F62CD" w:rsidRDefault="003E0481">
      <w:pPr>
        <w:numPr>
          <w:ilvl w:val="0"/>
          <w:numId w:val="8"/>
        </w:numPr>
        <w:spacing w:line="360" w:lineRule="auto"/>
        <w:jc w:val="both"/>
        <w:rPr>
          <w:rFonts w:asciiTheme="majorHAnsi" w:hAnsiTheme="majorHAnsi" w:cstheme="majorHAnsi"/>
        </w:rPr>
      </w:pPr>
      <w:r w:rsidRPr="000F62CD">
        <w:rPr>
          <w:rFonts w:asciiTheme="majorHAnsi" w:hAnsiTheme="majorHAnsi" w:cstheme="majorHAnsi"/>
        </w:rPr>
        <w:t>produkty zbożowe (szczególnie pełnoziarniste): otręby pszenne, kasza gryczana, chleb żytni razowy</w:t>
      </w:r>
    </w:p>
    <w:p w14:paraId="00000013" w14:textId="77777777" w:rsidR="00D95554" w:rsidRPr="000F62CD" w:rsidRDefault="003E0481">
      <w:pPr>
        <w:numPr>
          <w:ilvl w:val="0"/>
          <w:numId w:val="8"/>
        </w:numPr>
        <w:spacing w:line="360" w:lineRule="auto"/>
        <w:jc w:val="both"/>
        <w:rPr>
          <w:rFonts w:asciiTheme="majorHAnsi" w:hAnsiTheme="majorHAnsi" w:cstheme="majorHAnsi"/>
        </w:rPr>
      </w:pPr>
      <w:r w:rsidRPr="000F62CD">
        <w:rPr>
          <w:rFonts w:asciiTheme="majorHAnsi" w:hAnsiTheme="majorHAnsi" w:cstheme="majorHAnsi"/>
        </w:rPr>
        <w:t>orzechy i nasiona: pestki dyni, migdały, sezam, orzechy nerkowca, nasiona słonecznika</w:t>
      </w:r>
    </w:p>
    <w:p w14:paraId="00000016" w14:textId="728A693A" w:rsidR="00D95554" w:rsidRPr="00091BED" w:rsidRDefault="003E0481" w:rsidP="00091BED">
      <w:pPr>
        <w:numPr>
          <w:ilvl w:val="0"/>
          <w:numId w:val="8"/>
        </w:numPr>
        <w:spacing w:line="360" w:lineRule="auto"/>
        <w:jc w:val="both"/>
        <w:rPr>
          <w:rFonts w:asciiTheme="majorHAnsi" w:hAnsiTheme="majorHAnsi" w:cstheme="majorHAnsi"/>
        </w:rPr>
      </w:pPr>
      <w:r w:rsidRPr="000F62CD">
        <w:rPr>
          <w:rFonts w:asciiTheme="majorHAnsi" w:hAnsiTheme="majorHAnsi" w:cstheme="majorHAnsi"/>
        </w:rPr>
        <w:t>kakao, gorzka czekolada</w:t>
      </w:r>
    </w:p>
    <w:p w14:paraId="00000017" w14:textId="77777777" w:rsidR="00D95554" w:rsidRPr="000F62CD" w:rsidRDefault="003E0481">
      <w:pPr>
        <w:spacing w:line="360" w:lineRule="auto"/>
        <w:jc w:val="both"/>
        <w:rPr>
          <w:rFonts w:asciiTheme="majorHAnsi" w:hAnsiTheme="majorHAnsi" w:cstheme="majorHAnsi"/>
          <w:sz w:val="24"/>
          <w:szCs w:val="24"/>
        </w:rPr>
      </w:pPr>
      <w:r w:rsidRPr="000F62CD">
        <w:rPr>
          <w:rFonts w:asciiTheme="majorHAnsi" w:hAnsiTheme="majorHAnsi" w:cstheme="majorHAnsi"/>
          <w:sz w:val="24"/>
          <w:szCs w:val="24"/>
        </w:rPr>
        <w:t>SELEN</w:t>
      </w:r>
    </w:p>
    <w:p w14:paraId="00000019" w14:textId="42F3BB8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Mikroelement niezbędny do prawidłowego funkcjonowania enzymów oksydacyjnych, które odpowiadają za ochronę komórek przed stresem oksydacyjnym i wspierają proces regeneracji tkanek.</w:t>
      </w:r>
    </w:p>
    <w:p w14:paraId="0000001A" w14:textId="7777777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Produkty bogate w selen:</w:t>
      </w:r>
    </w:p>
    <w:p w14:paraId="0000001B" w14:textId="77777777" w:rsidR="00D95554" w:rsidRPr="000F62CD" w:rsidRDefault="003E0481">
      <w:pPr>
        <w:numPr>
          <w:ilvl w:val="0"/>
          <w:numId w:val="7"/>
        </w:numPr>
        <w:spacing w:line="360" w:lineRule="auto"/>
        <w:jc w:val="both"/>
        <w:rPr>
          <w:rFonts w:asciiTheme="majorHAnsi" w:hAnsiTheme="majorHAnsi" w:cstheme="majorHAnsi"/>
        </w:rPr>
      </w:pPr>
      <w:r w:rsidRPr="000F62CD">
        <w:rPr>
          <w:rFonts w:asciiTheme="majorHAnsi" w:hAnsiTheme="majorHAnsi" w:cstheme="majorHAnsi"/>
        </w:rPr>
        <w:t>orzechy brazylijskie - najbogatsze źródło</w:t>
      </w:r>
    </w:p>
    <w:p w14:paraId="0000001C" w14:textId="77777777" w:rsidR="00D95554" w:rsidRPr="000F62CD" w:rsidRDefault="003E0481">
      <w:pPr>
        <w:numPr>
          <w:ilvl w:val="0"/>
          <w:numId w:val="7"/>
        </w:numPr>
        <w:spacing w:line="360" w:lineRule="auto"/>
        <w:jc w:val="both"/>
        <w:rPr>
          <w:rFonts w:asciiTheme="majorHAnsi" w:hAnsiTheme="majorHAnsi" w:cstheme="majorHAnsi"/>
        </w:rPr>
      </w:pPr>
      <w:r w:rsidRPr="000F62CD">
        <w:rPr>
          <w:rFonts w:asciiTheme="majorHAnsi" w:hAnsiTheme="majorHAnsi" w:cstheme="majorHAnsi"/>
        </w:rPr>
        <w:t>mięso, ryby  owoce morza: wątróbka cielęca, drobiowa (w ograniczonych ilościach), chuda wołowina, tuńczyk, halibut, łosoś, makrela, śledź, ostrygi, krewetki, małże</w:t>
      </w:r>
    </w:p>
    <w:p w14:paraId="0000001D" w14:textId="77777777" w:rsidR="00D95554" w:rsidRPr="000F62CD" w:rsidRDefault="003E0481">
      <w:pPr>
        <w:numPr>
          <w:ilvl w:val="0"/>
          <w:numId w:val="7"/>
        </w:numPr>
        <w:spacing w:line="360" w:lineRule="auto"/>
        <w:jc w:val="both"/>
        <w:rPr>
          <w:rFonts w:asciiTheme="majorHAnsi" w:hAnsiTheme="majorHAnsi" w:cstheme="majorHAnsi"/>
        </w:rPr>
      </w:pPr>
      <w:r w:rsidRPr="000F62CD">
        <w:rPr>
          <w:rFonts w:asciiTheme="majorHAnsi" w:hAnsiTheme="majorHAnsi" w:cstheme="majorHAnsi"/>
        </w:rPr>
        <w:t>jaja</w:t>
      </w:r>
    </w:p>
    <w:p w14:paraId="0000001E" w14:textId="77777777" w:rsidR="00D95554" w:rsidRPr="000F62CD" w:rsidRDefault="003E0481">
      <w:pPr>
        <w:numPr>
          <w:ilvl w:val="0"/>
          <w:numId w:val="7"/>
        </w:numPr>
        <w:spacing w:line="360" w:lineRule="auto"/>
        <w:jc w:val="both"/>
        <w:rPr>
          <w:rFonts w:asciiTheme="majorHAnsi" w:hAnsiTheme="majorHAnsi" w:cstheme="majorHAnsi"/>
        </w:rPr>
      </w:pPr>
      <w:r w:rsidRPr="000F62CD">
        <w:rPr>
          <w:rFonts w:asciiTheme="majorHAnsi" w:hAnsiTheme="majorHAnsi" w:cstheme="majorHAnsi"/>
        </w:rPr>
        <w:t>nasiona roślin strączkowych: fasola biała, soczewica, ciecierzyca</w:t>
      </w:r>
    </w:p>
    <w:p w14:paraId="0000001F" w14:textId="77777777" w:rsidR="00D95554" w:rsidRPr="000F62CD" w:rsidRDefault="003E0481">
      <w:pPr>
        <w:numPr>
          <w:ilvl w:val="0"/>
          <w:numId w:val="7"/>
        </w:numPr>
        <w:spacing w:line="360" w:lineRule="auto"/>
        <w:jc w:val="both"/>
        <w:rPr>
          <w:rFonts w:asciiTheme="majorHAnsi" w:hAnsiTheme="majorHAnsi" w:cstheme="majorHAnsi"/>
        </w:rPr>
      </w:pPr>
      <w:r w:rsidRPr="000F62CD">
        <w:rPr>
          <w:rFonts w:asciiTheme="majorHAnsi" w:hAnsiTheme="majorHAnsi" w:cstheme="majorHAnsi"/>
        </w:rPr>
        <w:t>pełnoziarniste produkty zbożowe: makaron pełnoziarnisty, kasza gryczana, kasza jęczmienna pęczak, ryż brązowy, chleb żytni razowy, płatki owsiane, otręby pszenne</w:t>
      </w:r>
    </w:p>
    <w:p w14:paraId="00000022" w14:textId="65325D1F" w:rsidR="00D95554" w:rsidRPr="00091BED" w:rsidRDefault="003E0481" w:rsidP="00091BED">
      <w:pPr>
        <w:numPr>
          <w:ilvl w:val="0"/>
          <w:numId w:val="7"/>
        </w:numPr>
        <w:spacing w:line="360" w:lineRule="auto"/>
        <w:jc w:val="both"/>
        <w:rPr>
          <w:rFonts w:asciiTheme="majorHAnsi" w:hAnsiTheme="majorHAnsi" w:cstheme="majorHAnsi"/>
        </w:rPr>
      </w:pPr>
      <w:r w:rsidRPr="000F62CD">
        <w:rPr>
          <w:rFonts w:asciiTheme="majorHAnsi" w:hAnsiTheme="majorHAnsi" w:cstheme="majorHAnsi"/>
        </w:rPr>
        <w:t>orzechy i nasiona: nasiona słonecznika, orzechy nerkowca, orzechy włoskie</w:t>
      </w:r>
    </w:p>
    <w:p w14:paraId="00000023" w14:textId="77777777" w:rsidR="00D95554" w:rsidRPr="000F62CD" w:rsidRDefault="003E0481">
      <w:pPr>
        <w:spacing w:line="360" w:lineRule="auto"/>
        <w:jc w:val="both"/>
        <w:rPr>
          <w:rFonts w:asciiTheme="majorHAnsi" w:hAnsiTheme="majorHAnsi" w:cstheme="majorHAnsi"/>
          <w:sz w:val="24"/>
          <w:szCs w:val="24"/>
        </w:rPr>
      </w:pPr>
      <w:r w:rsidRPr="000F62CD">
        <w:rPr>
          <w:rFonts w:asciiTheme="majorHAnsi" w:hAnsiTheme="majorHAnsi" w:cstheme="majorHAnsi"/>
          <w:sz w:val="24"/>
          <w:szCs w:val="24"/>
        </w:rPr>
        <w:t>ARGININA</w:t>
      </w:r>
    </w:p>
    <w:p w14:paraId="00000025" w14:textId="582B652C"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Odgrywa kluczową rolę w przemianac</w:t>
      </w:r>
      <w:r w:rsidR="00292978" w:rsidRPr="000F62CD">
        <w:rPr>
          <w:rFonts w:asciiTheme="majorHAnsi" w:hAnsiTheme="majorHAnsi" w:cstheme="majorHAnsi"/>
        </w:rPr>
        <w:t>h azotu biorąc tym samym udział m.in.</w:t>
      </w:r>
      <w:r w:rsidRPr="000F62CD">
        <w:rPr>
          <w:rFonts w:asciiTheme="majorHAnsi" w:hAnsiTheme="majorHAnsi" w:cstheme="majorHAnsi"/>
        </w:rPr>
        <w:t xml:space="preserve"> w syntezie białek, przemianach energetycznych w komórce, syntezie tlenku azotu i </w:t>
      </w:r>
      <w:proofErr w:type="spellStart"/>
      <w:r w:rsidRPr="000F62CD">
        <w:rPr>
          <w:rFonts w:asciiTheme="majorHAnsi" w:hAnsiTheme="majorHAnsi" w:cstheme="majorHAnsi"/>
        </w:rPr>
        <w:t>poliamin</w:t>
      </w:r>
      <w:proofErr w:type="spellEnd"/>
      <w:r w:rsidRPr="000F62CD">
        <w:rPr>
          <w:rFonts w:asciiTheme="majorHAnsi" w:hAnsiTheme="majorHAnsi" w:cstheme="majorHAnsi"/>
        </w:rPr>
        <w:t xml:space="preserve">. Ze względu na pełnienie istotnych funkcji w naszym organizmie arginina uważana jest za warunkowo niezbędny aminokwas. Oznacza to, że w sytuacjach patofizjologicznych tj. rozległe urazy lub ciężkie infekcje, zdolność organizmu do jej endogennej syntezy staje się niewystarczająca. Z tego względu argininę należy dostarczać wraz z dietą, ponieważ jej niedobór wywołuje natychmiastową </w:t>
      </w:r>
      <w:proofErr w:type="spellStart"/>
      <w:r w:rsidRPr="000F62CD">
        <w:rPr>
          <w:rFonts w:asciiTheme="majorHAnsi" w:hAnsiTheme="majorHAnsi" w:cstheme="majorHAnsi"/>
        </w:rPr>
        <w:t>hiperamonemię</w:t>
      </w:r>
      <w:proofErr w:type="spellEnd"/>
      <w:r w:rsidR="00292978" w:rsidRPr="000F62CD">
        <w:rPr>
          <w:rFonts w:asciiTheme="majorHAnsi" w:hAnsiTheme="majorHAnsi" w:cstheme="majorHAnsi"/>
        </w:rPr>
        <w:t>,</w:t>
      </w:r>
      <w:r w:rsidRPr="000F62CD">
        <w:rPr>
          <w:rFonts w:asciiTheme="majorHAnsi" w:hAnsiTheme="majorHAnsi" w:cstheme="majorHAnsi"/>
        </w:rPr>
        <w:t xml:space="preserve"> zaburzając tym samym syntezę białek a w konsekwencji wydłużenie procesu gojenia ran. </w:t>
      </w:r>
    </w:p>
    <w:p w14:paraId="00000026" w14:textId="7777777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Produkty bogate w argininę:</w:t>
      </w:r>
    </w:p>
    <w:p w14:paraId="00000027" w14:textId="77777777" w:rsidR="00D95554" w:rsidRPr="000F62CD" w:rsidRDefault="003E0481">
      <w:pPr>
        <w:numPr>
          <w:ilvl w:val="0"/>
          <w:numId w:val="6"/>
        </w:numPr>
        <w:spacing w:line="360" w:lineRule="auto"/>
        <w:jc w:val="both"/>
        <w:rPr>
          <w:rFonts w:asciiTheme="majorHAnsi" w:hAnsiTheme="majorHAnsi" w:cstheme="majorHAnsi"/>
        </w:rPr>
      </w:pPr>
      <w:r w:rsidRPr="000F62CD">
        <w:rPr>
          <w:rFonts w:asciiTheme="majorHAnsi" w:hAnsiTheme="majorHAnsi" w:cstheme="majorHAnsi"/>
        </w:rPr>
        <w:t>mięso: indyk, kurczak, cielęcina, chuda wołowina, chuda wieprzowina</w:t>
      </w:r>
    </w:p>
    <w:p w14:paraId="00000028" w14:textId="77777777" w:rsidR="00D95554" w:rsidRPr="000F62CD" w:rsidRDefault="003E0481">
      <w:pPr>
        <w:numPr>
          <w:ilvl w:val="0"/>
          <w:numId w:val="6"/>
        </w:numPr>
        <w:spacing w:line="360" w:lineRule="auto"/>
        <w:jc w:val="both"/>
        <w:rPr>
          <w:rFonts w:asciiTheme="majorHAnsi" w:hAnsiTheme="majorHAnsi" w:cstheme="majorHAnsi"/>
        </w:rPr>
      </w:pPr>
      <w:r w:rsidRPr="000F62CD">
        <w:rPr>
          <w:rFonts w:asciiTheme="majorHAnsi" w:hAnsiTheme="majorHAnsi" w:cstheme="majorHAnsi"/>
        </w:rPr>
        <w:t>ryby i owoce morza: łosoś, tuńczyk, dorsz, krewetki</w:t>
      </w:r>
    </w:p>
    <w:p w14:paraId="00000029" w14:textId="77777777" w:rsidR="00D95554" w:rsidRPr="000F62CD" w:rsidRDefault="003E0481">
      <w:pPr>
        <w:numPr>
          <w:ilvl w:val="0"/>
          <w:numId w:val="6"/>
        </w:numPr>
        <w:spacing w:line="360" w:lineRule="auto"/>
        <w:jc w:val="both"/>
        <w:rPr>
          <w:rFonts w:asciiTheme="majorHAnsi" w:hAnsiTheme="majorHAnsi" w:cstheme="majorHAnsi"/>
        </w:rPr>
      </w:pPr>
      <w:r w:rsidRPr="000F62CD">
        <w:rPr>
          <w:rFonts w:asciiTheme="majorHAnsi" w:hAnsiTheme="majorHAnsi" w:cstheme="majorHAnsi"/>
        </w:rPr>
        <w:t xml:space="preserve">jaja i produkty mleczne: mleko, jogurt, ser żółty (w </w:t>
      </w:r>
      <w:proofErr w:type="spellStart"/>
      <w:r w:rsidRPr="000F62CD">
        <w:rPr>
          <w:rFonts w:asciiTheme="majorHAnsi" w:hAnsiTheme="majorHAnsi" w:cstheme="majorHAnsi"/>
        </w:rPr>
        <w:t>ogniczonych</w:t>
      </w:r>
      <w:proofErr w:type="spellEnd"/>
      <w:r w:rsidRPr="000F62CD">
        <w:rPr>
          <w:rFonts w:asciiTheme="majorHAnsi" w:hAnsiTheme="majorHAnsi" w:cstheme="majorHAnsi"/>
        </w:rPr>
        <w:t xml:space="preserve"> ilościach)</w:t>
      </w:r>
    </w:p>
    <w:p w14:paraId="0000002A" w14:textId="77777777" w:rsidR="00D95554" w:rsidRPr="000F62CD" w:rsidRDefault="003E0481">
      <w:pPr>
        <w:numPr>
          <w:ilvl w:val="0"/>
          <w:numId w:val="6"/>
        </w:numPr>
        <w:spacing w:line="360" w:lineRule="auto"/>
        <w:jc w:val="both"/>
        <w:rPr>
          <w:rFonts w:asciiTheme="majorHAnsi" w:hAnsiTheme="majorHAnsi" w:cstheme="majorHAnsi"/>
        </w:rPr>
      </w:pPr>
      <w:r w:rsidRPr="000F62CD">
        <w:rPr>
          <w:rFonts w:asciiTheme="majorHAnsi" w:hAnsiTheme="majorHAnsi" w:cstheme="majorHAnsi"/>
        </w:rPr>
        <w:t>produkty zbożowe (szczególnie pełnoziarniste): kasza gryczana, kasza jaglana, płatki owsiane</w:t>
      </w:r>
    </w:p>
    <w:p w14:paraId="0000002B" w14:textId="77777777" w:rsidR="00D95554" w:rsidRPr="000F62CD" w:rsidRDefault="003E0481">
      <w:pPr>
        <w:numPr>
          <w:ilvl w:val="0"/>
          <w:numId w:val="6"/>
        </w:numPr>
        <w:spacing w:line="360" w:lineRule="auto"/>
        <w:jc w:val="both"/>
        <w:rPr>
          <w:rFonts w:asciiTheme="majorHAnsi" w:hAnsiTheme="majorHAnsi" w:cstheme="majorHAnsi"/>
        </w:rPr>
      </w:pPr>
      <w:r w:rsidRPr="000F62CD">
        <w:rPr>
          <w:rFonts w:asciiTheme="majorHAnsi" w:hAnsiTheme="majorHAnsi" w:cstheme="majorHAnsi"/>
        </w:rPr>
        <w:t>nasiona roślin strączkowych: soja, soczewica, ciecierzyca, fasola</w:t>
      </w:r>
    </w:p>
    <w:p w14:paraId="0000002C" w14:textId="77777777" w:rsidR="00D95554" w:rsidRPr="000F62CD" w:rsidRDefault="003E0481">
      <w:pPr>
        <w:numPr>
          <w:ilvl w:val="0"/>
          <w:numId w:val="6"/>
        </w:numPr>
        <w:spacing w:line="360" w:lineRule="auto"/>
        <w:jc w:val="both"/>
        <w:rPr>
          <w:rFonts w:asciiTheme="majorHAnsi" w:hAnsiTheme="majorHAnsi" w:cstheme="majorHAnsi"/>
        </w:rPr>
      </w:pPr>
      <w:r w:rsidRPr="000F62CD">
        <w:rPr>
          <w:rFonts w:asciiTheme="majorHAnsi" w:hAnsiTheme="majorHAnsi" w:cstheme="majorHAnsi"/>
        </w:rPr>
        <w:t xml:space="preserve">orzechy i nasiona: pestki dyni, nasiona słonecznika, sezam, orzechy: włoskie, laskowe, </w:t>
      </w:r>
      <w:proofErr w:type="spellStart"/>
      <w:r w:rsidRPr="000F62CD">
        <w:rPr>
          <w:rFonts w:asciiTheme="majorHAnsi" w:hAnsiTheme="majorHAnsi" w:cstheme="majorHAnsi"/>
        </w:rPr>
        <w:t>pekan</w:t>
      </w:r>
      <w:proofErr w:type="spellEnd"/>
      <w:r w:rsidRPr="000F62CD">
        <w:rPr>
          <w:rFonts w:asciiTheme="majorHAnsi" w:hAnsiTheme="majorHAnsi" w:cstheme="majorHAnsi"/>
        </w:rPr>
        <w:t xml:space="preserve">, arachidowe, nerkowca, brazylijskie, migdały </w:t>
      </w:r>
    </w:p>
    <w:p w14:paraId="0000002F" w14:textId="7429D8DD" w:rsidR="00D95554" w:rsidRPr="000F62CD" w:rsidRDefault="003E0481" w:rsidP="00091BED">
      <w:pPr>
        <w:spacing w:line="360" w:lineRule="auto"/>
        <w:ind w:left="720"/>
        <w:jc w:val="both"/>
        <w:rPr>
          <w:rFonts w:asciiTheme="majorHAnsi" w:hAnsiTheme="majorHAnsi" w:cstheme="majorHAnsi"/>
        </w:rPr>
      </w:pPr>
      <w:r w:rsidRPr="000F62CD">
        <w:rPr>
          <w:rFonts w:asciiTheme="majorHAnsi" w:hAnsiTheme="majorHAnsi" w:cstheme="majorHAnsi"/>
        </w:rPr>
        <w:lastRenderedPageBreak/>
        <w:t>(należy pamiętać, że orzechy i nasiona są produktami o wysokiej wartości energetycznej - spożywanie ich w nadmiernych ilościach może przyczynić się do wzrostu masy ciała prowadząc nawet do nadwagi i otyłości)</w:t>
      </w:r>
    </w:p>
    <w:p w14:paraId="00000030" w14:textId="77777777" w:rsidR="00D95554" w:rsidRPr="000F62CD" w:rsidRDefault="003E0481">
      <w:pPr>
        <w:spacing w:line="360" w:lineRule="auto"/>
        <w:jc w:val="both"/>
        <w:rPr>
          <w:rFonts w:asciiTheme="majorHAnsi" w:hAnsiTheme="majorHAnsi" w:cstheme="majorHAnsi"/>
          <w:sz w:val="24"/>
          <w:szCs w:val="24"/>
        </w:rPr>
      </w:pPr>
      <w:r w:rsidRPr="000F62CD">
        <w:rPr>
          <w:rFonts w:asciiTheme="majorHAnsi" w:hAnsiTheme="majorHAnsi" w:cstheme="majorHAnsi"/>
          <w:sz w:val="24"/>
          <w:szCs w:val="24"/>
        </w:rPr>
        <w:t>GLUTAMINA</w:t>
      </w:r>
    </w:p>
    <w:p w14:paraId="00000032" w14:textId="047182C9"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 xml:space="preserve">Stanowi istotny substrat energetyczny dla komórek układu odpornościowego oraz </w:t>
      </w:r>
      <w:proofErr w:type="spellStart"/>
      <w:r w:rsidRPr="000F62CD">
        <w:rPr>
          <w:rFonts w:asciiTheme="majorHAnsi" w:hAnsiTheme="majorHAnsi" w:cstheme="majorHAnsi"/>
        </w:rPr>
        <w:t>enterocytów</w:t>
      </w:r>
      <w:proofErr w:type="spellEnd"/>
      <w:r w:rsidRPr="000F62CD">
        <w:rPr>
          <w:rFonts w:asciiTheme="majorHAnsi" w:hAnsiTheme="majorHAnsi" w:cstheme="majorHAnsi"/>
        </w:rPr>
        <w:t xml:space="preserve">. Wspiera utrzymanie integralności bariery jelitowej, a jako niezbędny prekursor bierze udział w wytwarzaniu podstawowego wewnątrzkomórkowego antyoksydantu, czyli </w:t>
      </w:r>
      <w:proofErr w:type="spellStart"/>
      <w:r w:rsidRPr="000F62CD">
        <w:rPr>
          <w:rFonts w:asciiTheme="majorHAnsi" w:hAnsiTheme="majorHAnsi" w:cstheme="majorHAnsi"/>
        </w:rPr>
        <w:t>glutationu</w:t>
      </w:r>
      <w:proofErr w:type="spellEnd"/>
      <w:r w:rsidRPr="000F62CD">
        <w:rPr>
          <w:rFonts w:asciiTheme="majorHAnsi" w:hAnsiTheme="majorHAnsi" w:cstheme="majorHAnsi"/>
        </w:rPr>
        <w:t xml:space="preserve">. </w:t>
      </w:r>
    </w:p>
    <w:p w14:paraId="00000033" w14:textId="7777777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Produkty bogate w glutaminę:</w:t>
      </w:r>
    </w:p>
    <w:p w14:paraId="00000034" w14:textId="77777777" w:rsidR="00D95554" w:rsidRPr="000F62CD" w:rsidRDefault="003E0481">
      <w:pPr>
        <w:numPr>
          <w:ilvl w:val="0"/>
          <w:numId w:val="1"/>
        </w:numPr>
        <w:spacing w:line="360" w:lineRule="auto"/>
        <w:jc w:val="both"/>
        <w:rPr>
          <w:rFonts w:asciiTheme="majorHAnsi" w:hAnsiTheme="majorHAnsi" w:cstheme="majorHAnsi"/>
        </w:rPr>
      </w:pPr>
      <w:r w:rsidRPr="000F62CD">
        <w:rPr>
          <w:rFonts w:asciiTheme="majorHAnsi" w:hAnsiTheme="majorHAnsi" w:cstheme="majorHAnsi"/>
        </w:rPr>
        <w:t>mięso i ryby: kurczak, indyk, chuda wołowina, łosoś</w:t>
      </w:r>
    </w:p>
    <w:p w14:paraId="00000035" w14:textId="77777777" w:rsidR="00D95554" w:rsidRPr="000F62CD" w:rsidRDefault="003E0481">
      <w:pPr>
        <w:numPr>
          <w:ilvl w:val="0"/>
          <w:numId w:val="1"/>
        </w:numPr>
        <w:spacing w:line="360" w:lineRule="auto"/>
        <w:jc w:val="both"/>
        <w:rPr>
          <w:rFonts w:asciiTheme="majorHAnsi" w:hAnsiTheme="majorHAnsi" w:cstheme="majorHAnsi"/>
        </w:rPr>
      </w:pPr>
      <w:r w:rsidRPr="000F62CD">
        <w:rPr>
          <w:rFonts w:asciiTheme="majorHAnsi" w:hAnsiTheme="majorHAnsi" w:cstheme="majorHAnsi"/>
        </w:rPr>
        <w:t>jaja, sery żółte (np. parmezan - w ograniczonych ilościach)</w:t>
      </w:r>
    </w:p>
    <w:p w14:paraId="00000036" w14:textId="77777777" w:rsidR="00D95554" w:rsidRPr="000F62CD" w:rsidRDefault="003E0481">
      <w:pPr>
        <w:numPr>
          <w:ilvl w:val="0"/>
          <w:numId w:val="1"/>
        </w:numPr>
        <w:spacing w:line="360" w:lineRule="auto"/>
        <w:jc w:val="both"/>
        <w:rPr>
          <w:rFonts w:asciiTheme="majorHAnsi" w:hAnsiTheme="majorHAnsi" w:cstheme="majorHAnsi"/>
        </w:rPr>
      </w:pPr>
      <w:proofErr w:type="spellStart"/>
      <w:r w:rsidRPr="000F62CD">
        <w:rPr>
          <w:rFonts w:asciiTheme="majorHAnsi" w:hAnsiTheme="majorHAnsi" w:cstheme="majorHAnsi"/>
        </w:rPr>
        <w:t>tofu</w:t>
      </w:r>
      <w:proofErr w:type="spellEnd"/>
      <w:r w:rsidRPr="000F62CD">
        <w:rPr>
          <w:rFonts w:asciiTheme="majorHAnsi" w:hAnsiTheme="majorHAnsi" w:cstheme="majorHAnsi"/>
        </w:rPr>
        <w:t>, fasola, soczewica</w:t>
      </w:r>
    </w:p>
    <w:p w14:paraId="00000037" w14:textId="77777777" w:rsidR="00D95554" w:rsidRPr="000F62CD" w:rsidRDefault="003E0481">
      <w:pPr>
        <w:numPr>
          <w:ilvl w:val="0"/>
          <w:numId w:val="1"/>
        </w:numPr>
        <w:spacing w:line="360" w:lineRule="auto"/>
        <w:jc w:val="both"/>
        <w:rPr>
          <w:rFonts w:asciiTheme="majorHAnsi" w:hAnsiTheme="majorHAnsi" w:cstheme="majorHAnsi"/>
        </w:rPr>
      </w:pPr>
      <w:r w:rsidRPr="000F62CD">
        <w:rPr>
          <w:rFonts w:asciiTheme="majorHAnsi" w:hAnsiTheme="majorHAnsi" w:cstheme="majorHAnsi"/>
        </w:rPr>
        <w:t xml:space="preserve">produkty zbożowe: produkty z pszenicy </w:t>
      </w:r>
      <w:proofErr w:type="spellStart"/>
      <w:r w:rsidRPr="000F62CD">
        <w:rPr>
          <w:rFonts w:asciiTheme="majorHAnsi" w:hAnsiTheme="majorHAnsi" w:cstheme="majorHAnsi"/>
        </w:rPr>
        <w:t>durum</w:t>
      </w:r>
      <w:proofErr w:type="spellEnd"/>
      <w:r w:rsidRPr="000F62CD">
        <w:rPr>
          <w:rFonts w:asciiTheme="majorHAnsi" w:hAnsiTheme="majorHAnsi" w:cstheme="majorHAnsi"/>
        </w:rPr>
        <w:t>, pieczywo pełnoziarniste, mąka pełnoziarnista, mąka orkiszowa, płatki owsiane</w:t>
      </w:r>
    </w:p>
    <w:p w14:paraId="00000038" w14:textId="77777777" w:rsidR="00D95554" w:rsidRPr="000F62CD" w:rsidRDefault="003E0481">
      <w:pPr>
        <w:numPr>
          <w:ilvl w:val="0"/>
          <w:numId w:val="1"/>
        </w:numPr>
        <w:spacing w:line="360" w:lineRule="auto"/>
        <w:jc w:val="both"/>
        <w:rPr>
          <w:rFonts w:asciiTheme="majorHAnsi" w:hAnsiTheme="majorHAnsi" w:cstheme="majorHAnsi"/>
        </w:rPr>
      </w:pPr>
      <w:r w:rsidRPr="000F62CD">
        <w:rPr>
          <w:rFonts w:asciiTheme="majorHAnsi" w:hAnsiTheme="majorHAnsi" w:cstheme="majorHAnsi"/>
        </w:rPr>
        <w:t>migdały, orzechy: nerkowca, ziemne, włoskie, laskowe, pistacje</w:t>
      </w:r>
    </w:p>
    <w:p w14:paraId="0000003B" w14:textId="3DCFE1E8" w:rsidR="00D95554" w:rsidRPr="00091BED" w:rsidRDefault="003E0481" w:rsidP="00091BED">
      <w:pPr>
        <w:numPr>
          <w:ilvl w:val="0"/>
          <w:numId w:val="1"/>
        </w:numPr>
        <w:spacing w:line="360" w:lineRule="auto"/>
        <w:jc w:val="both"/>
        <w:rPr>
          <w:rFonts w:asciiTheme="majorHAnsi" w:hAnsiTheme="majorHAnsi" w:cstheme="majorHAnsi"/>
        </w:rPr>
      </w:pPr>
      <w:r w:rsidRPr="000F62CD">
        <w:rPr>
          <w:rFonts w:asciiTheme="majorHAnsi" w:hAnsiTheme="majorHAnsi" w:cstheme="majorHAnsi"/>
        </w:rPr>
        <w:t>warzywa: kapusta czerwona, szpinak, natka pietruszki</w:t>
      </w:r>
    </w:p>
    <w:p w14:paraId="0000003C" w14:textId="7777777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sz w:val="24"/>
          <w:szCs w:val="24"/>
        </w:rPr>
        <w:t>WITAMINA A</w:t>
      </w:r>
    </w:p>
    <w:p w14:paraId="0000003D" w14:textId="7777777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Wspomaga wzrost i różnicowanie komórek oraz bierze udział w produkcji kolagenu. Ze względu na swoje silne właściwości antyoksydacyjne chroni komórki przed uszkodzeniami wywołanymi przez wolne rodniki wspierając tym samym proces gojenia. Dodatkowo wspiera barierę ochronną skóry, co wpływa na zmniejszenie ryzyka zakażenia/infekcji.</w:t>
      </w:r>
    </w:p>
    <w:p w14:paraId="0000003F" w14:textId="6B1A51C0"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Produkty bogate w witaminę A:</w:t>
      </w:r>
    </w:p>
    <w:p w14:paraId="00000042" w14:textId="7777777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W żywności witamina A występuje w dwóch formach:</w:t>
      </w:r>
    </w:p>
    <w:p w14:paraId="00000043" w14:textId="77777777" w:rsidR="00D95554" w:rsidRPr="000F62CD" w:rsidRDefault="003E0481">
      <w:pPr>
        <w:numPr>
          <w:ilvl w:val="0"/>
          <w:numId w:val="2"/>
        </w:numPr>
        <w:spacing w:line="360" w:lineRule="auto"/>
        <w:jc w:val="both"/>
        <w:rPr>
          <w:rFonts w:asciiTheme="majorHAnsi" w:hAnsiTheme="majorHAnsi" w:cstheme="majorHAnsi"/>
        </w:rPr>
      </w:pPr>
      <w:r w:rsidRPr="000F62CD">
        <w:rPr>
          <w:rFonts w:asciiTheme="majorHAnsi" w:hAnsiTheme="majorHAnsi" w:cstheme="majorHAnsi"/>
        </w:rPr>
        <w:t xml:space="preserve">Retinol, czyli aktywna forma witaminy A - występuje w produktach pochodzenia zwierzęcego. </w:t>
      </w:r>
    </w:p>
    <w:p w14:paraId="00000044" w14:textId="14B0CD69" w:rsidR="00D95554" w:rsidRPr="000F62CD" w:rsidRDefault="00292978">
      <w:pPr>
        <w:spacing w:line="360" w:lineRule="auto"/>
        <w:ind w:left="720"/>
        <w:jc w:val="both"/>
        <w:rPr>
          <w:rFonts w:asciiTheme="majorHAnsi" w:hAnsiTheme="majorHAnsi" w:cstheme="majorHAnsi"/>
        </w:rPr>
      </w:pPr>
      <w:r w:rsidRPr="000F62CD">
        <w:rPr>
          <w:rFonts w:asciiTheme="majorHAnsi" w:hAnsiTheme="majorHAnsi" w:cstheme="majorHAnsi"/>
        </w:rPr>
        <w:t>Występuje m.in. w podrobach (szczególnie wątróbce</w:t>
      </w:r>
      <w:r w:rsidR="003E0481" w:rsidRPr="000F62CD">
        <w:rPr>
          <w:rFonts w:asciiTheme="majorHAnsi" w:hAnsiTheme="majorHAnsi" w:cstheme="majorHAnsi"/>
        </w:rPr>
        <w:t>), jaja</w:t>
      </w:r>
      <w:r w:rsidRPr="000F62CD">
        <w:rPr>
          <w:rFonts w:asciiTheme="majorHAnsi" w:hAnsiTheme="majorHAnsi" w:cstheme="majorHAnsi"/>
        </w:rPr>
        <w:t xml:space="preserve">ch, </w:t>
      </w:r>
      <w:proofErr w:type="spellStart"/>
      <w:r w:rsidRPr="000F62CD">
        <w:rPr>
          <w:rFonts w:asciiTheme="majorHAnsi" w:hAnsiTheme="majorHAnsi" w:cstheme="majorHAnsi"/>
        </w:rPr>
        <w:t>niektórcy</w:t>
      </w:r>
      <w:proofErr w:type="spellEnd"/>
      <w:r w:rsidR="003E0481" w:rsidRPr="000F62CD">
        <w:rPr>
          <w:rFonts w:asciiTheme="majorHAnsi" w:hAnsiTheme="majorHAnsi" w:cstheme="majorHAnsi"/>
        </w:rPr>
        <w:t xml:space="preserve"> ryby morskie (</w:t>
      </w:r>
      <w:proofErr w:type="spellStart"/>
      <w:r w:rsidR="003E0481" w:rsidRPr="000F62CD">
        <w:rPr>
          <w:rFonts w:asciiTheme="majorHAnsi" w:hAnsiTheme="majorHAnsi" w:cstheme="majorHAnsi"/>
        </w:rPr>
        <w:t>np.tuńczyk</w:t>
      </w:r>
      <w:proofErr w:type="spellEnd"/>
      <w:r w:rsidR="003E0481" w:rsidRPr="000F62CD">
        <w:rPr>
          <w:rFonts w:asciiTheme="majorHAnsi" w:hAnsiTheme="majorHAnsi" w:cstheme="majorHAnsi"/>
        </w:rPr>
        <w:t>), masło, tran, tłuste sery</w:t>
      </w:r>
    </w:p>
    <w:p w14:paraId="00000045" w14:textId="77777777" w:rsidR="00D95554" w:rsidRPr="000F62CD" w:rsidRDefault="003E0481">
      <w:pPr>
        <w:numPr>
          <w:ilvl w:val="0"/>
          <w:numId w:val="2"/>
        </w:numPr>
        <w:spacing w:line="360" w:lineRule="auto"/>
        <w:jc w:val="both"/>
        <w:rPr>
          <w:rFonts w:asciiTheme="majorHAnsi" w:hAnsiTheme="majorHAnsi" w:cstheme="majorHAnsi"/>
        </w:rPr>
      </w:pPr>
      <w:r w:rsidRPr="000F62CD">
        <w:rPr>
          <w:rFonts w:asciiTheme="majorHAnsi" w:hAnsiTheme="majorHAnsi" w:cstheme="majorHAnsi"/>
        </w:rPr>
        <w:t xml:space="preserve">Beta-karoten, czyli najsilniejszy prekursor witaminy A - występuje w produktach pochodzenia roślinnego (witamina A oraz beta-karoten rozpuszczają się w tłuszczach, z tego względu, aby </w:t>
      </w:r>
      <w:r w:rsidRPr="000F62CD">
        <w:rPr>
          <w:rFonts w:asciiTheme="majorHAnsi" w:hAnsiTheme="majorHAnsi" w:cstheme="majorHAnsi"/>
        </w:rPr>
        <w:lastRenderedPageBreak/>
        <w:t>organizm mógł efektywnie wykorzystać beta-karoten należy dodać do potrawy niewielką ilość tłuszczu np. oliwy z oliwek, oleju, masła czy orzechów).</w:t>
      </w:r>
    </w:p>
    <w:p w14:paraId="00000048" w14:textId="6BBF3619" w:rsidR="00D95554" w:rsidRPr="000F62CD" w:rsidRDefault="003E0481" w:rsidP="00091BED">
      <w:pPr>
        <w:spacing w:line="360" w:lineRule="auto"/>
        <w:ind w:left="720"/>
        <w:jc w:val="both"/>
        <w:rPr>
          <w:rFonts w:asciiTheme="majorHAnsi" w:hAnsiTheme="majorHAnsi" w:cstheme="majorHAnsi"/>
        </w:rPr>
      </w:pPr>
      <w:r w:rsidRPr="000F62CD">
        <w:rPr>
          <w:rFonts w:asciiTheme="majorHAnsi" w:hAnsiTheme="majorHAnsi" w:cstheme="majorHAnsi"/>
        </w:rPr>
        <w:t>Znajdziesz go w warzywach i owocach tj. marchew, bataty, dynia, czerwona papryka, natka pietruszki, jarmuż, szpinak, boćwina, szczaw, morele, melon, brzoskwinie, śliwki</w:t>
      </w:r>
    </w:p>
    <w:p w14:paraId="00000049" w14:textId="7777777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sz w:val="24"/>
          <w:szCs w:val="24"/>
        </w:rPr>
        <w:t>WITAMINA C</w:t>
      </w:r>
    </w:p>
    <w:p w14:paraId="0000004B" w14:textId="218B46F5"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 xml:space="preserve">Bierze udział w produkcji kolagenu oraz pełni ważną funkcję w procesie regeneracji tkanek. Odgrywa kluczową rolę w ochronie komórek przed uszkodzeniami wywołanymi przez wolne rodniki. Uczestniczy także w procesie naprawy skóry poprzez stymulowanie migracji fibroblastów i </w:t>
      </w:r>
      <w:proofErr w:type="spellStart"/>
      <w:r w:rsidRPr="000F62CD">
        <w:rPr>
          <w:rFonts w:asciiTheme="majorHAnsi" w:hAnsiTheme="majorHAnsi" w:cstheme="majorHAnsi"/>
        </w:rPr>
        <w:t>keratynocytów</w:t>
      </w:r>
      <w:proofErr w:type="spellEnd"/>
      <w:r w:rsidRPr="000F62CD">
        <w:rPr>
          <w:rFonts w:asciiTheme="majorHAnsi" w:hAnsiTheme="majorHAnsi" w:cstheme="majorHAnsi"/>
        </w:rPr>
        <w:t xml:space="preserve">. Ponadto zwiększa wchłanianie żelaza, niezbędnego do syntezy czerwonych krwinek i transportu tlenu. </w:t>
      </w:r>
    </w:p>
    <w:p w14:paraId="0000004C" w14:textId="7777777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Produkty bogate w witaminę C:</w:t>
      </w:r>
    </w:p>
    <w:p w14:paraId="0000004D" w14:textId="77777777" w:rsidR="00D95554" w:rsidRPr="000F62CD" w:rsidRDefault="003E0481">
      <w:pPr>
        <w:numPr>
          <w:ilvl w:val="0"/>
          <w:numId w:val="3"/>
        </w:numPr>
        <w:spacing w:line="360" w:lineRule="auto"/>
        <w:jc w:val="both"/>
        <w:rPr>
          <w:rFonts w:asciiTheme="majorHAnsi" w:hAnsiTheme="majorHAnsi" w:cstheme="majorHAnsi"/>
        </w:rPr>
      </w:pPr>
      <w:r w:rsidRPr="000F62CD">
        <w:rPr>
          <w:rFonts w:asciiTheme="majorHAnsi" w:hAnsiTheme="majorHAnsi" w:cstheme="majorHAnsi"/>
        </w:rPr>
        <w:t xml:space="preserve">owoce: czarna porzeczka, </w:t>
      </w:r>
      <w:proofErr w:type="spellStart"/>
      <w:r w:rsidRPr="000F62CD">
        <w:rPr>
          <w:rFonts w:asciiTheme="majorHAnsi" w:hAnsiTheme="majorHAnsi" w:cstheme="majorHAnsi"/>
        </w:rPr>
        <w:t>acerola</w:t>
      </w:r>
      <w:proofErr w:type="spellEnd"/>
      <w:r w:rsidRPr="000F62CD">
        <w:rPr>
          <w:rFonts w:asciiTheme="majorHAnsi" w:hAnsiTheme="majorHAnsi" w:cstheme="majorHAnsi"/>
        </w:rPr>
        <w:t>, dzika róża, rokitnik, kiwi, truskawki, pomarańcze, cytryny</w:t>
      </w:r>
    </w:p>
    <w:p w14:paraId="0000004E" w14:textId="77777777" w:rsidR="00D95554" w:rsidRPr="000F62CD" w:rsidRDefault="003E0481">
      <w:pPr>
        <w:numPr>
          <w:ilvl w:val="0"/>
          <w:numId w:val="3"/>
        </w:numPr>
        <w:spacing w:line="360" w:lineRule="auto"/>
        <w:jc w:val="both"/>
        <w:rPr>
          <w:rFonts w:asciiTheme="majorHAnsi" w:hAnsiTheme="majorHAnsi" w:cstheme="majorHAnsi"/>
        </w:rPr>
      </w:pPr>
      <w:r w:rsidRPr="000F62CD">
        <w:rPr>
          <w:rFonts w:asciiTheme="majorHAnsi" w:hAnsiTheme="majorHAnsi" w:cstheme="majorHAnsi"/>
        </w:rPr>
        <w:t>warzywa: natka pietruszki, papryka żółta i czerwona, jarmuż</w:t>
      </w:r>
    </w:p>
    <w:p w14:paraId="00000051" w14:textId="53660940" w:rsidR="00D95554" w:rsidRPr="00091BED" w:rsidRDefault="003E0481" w:rsidP="00091BED">
      <w:pPr>
        <w:numPr>
          <w:ilvl w:val="1"/>
          <w:numId w:val="3"/>
        </w:numPr>
        <w:spacing w:line="360" w:lineRule="auto"/>
        <w:jc w:val="both"/>
        <w:rPr>
          <w:rFonts w:asciiTheme="majorHAnsi" w:hAnsiTheme="majorHAnsi" w:cstheme="majorHAnsi"/>
        </w:rPr>
      </w:pPr>
      <w:r w:rsidRPr="000F62CD">
        <w:rPr>
          <w:rFonts w:asciiTheme="majorHAnsi" w:hAnsiTheme="majorHAnsi" w:cstheme="majorHAnsi"/>
        </w:rPr>
        <w:t xml:space="preserve">brukselka, brokuły, kalafior - ze względu na duże straty witaminy C w procesie gotowania sugeruje się gotowanie al </w:t>
      </w:r>
      <w:proofErr w:type="spellStart"/>
      <w:r w:rsidRPr="000F62CD">
        <w:rPr>
          <w:rFonts w:asciiTheme="majorHAnsi" w:hAnsiTheme="majorHAnsi" w:cstheme="majorHAnsi"/>
        </w:rPr>
        <w:t>dente</w:t>
      </w:r>
      <w:proofErr w:type="spellEnd"/>
      <w:r w:rsidRPr="000F62CD">
        <w:rPr>
          <w:rFonts w:asciiTheme="majorHAnsi" w:hAnsiTheme="majorHAnsi" w:cstheme="majorHAnsi"/>
        </w:rPr>
        <w:t xml:space="preserve"> lub gotowanie na parze</w:t>
      </w:r>
    </w:p>
    <w:p w14:paraId="00000052" w14:textId="77777777" w:rsidR="00D95554" w:rsidRPr="000F62CD" w:rsidRDefault="003E0481">
      <w:pPr>
        <w:spacing w:line="360" w:lineRule="auto"/>
        <w:jc w:val="both"/>
        <w:rPr>
          <w:rFonts w:asciiTheme="majorHAnsi" w:hAnsiTheme="majorHAnsi" w:cstheme="majorHAnsi"/>
          <w:sz w:val="24"/>
          <w:szCs w:val="24"/>
        </w:rPr>
      </w:pPr>
      <w:r w:rsidRPr="000F62CD">
        <w:rPr>
          <w:rFonts w:asciiTheme="majorHAnsi" w:hAnsiTheme="majorHAnsi" w:cstheme="majorHAnsi"/>
          <w:sz w:val="24"/>
          <w:szCs w:val="24"/>
        </w:rPr>
        <w:t>KWASY OMEGA-3</w:t>
      </w:r>
    </w:p>
    <w:p w14:paraId="00000053" w14:textId="21E1F06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 xml:space="preserve">Wykazują działanie przeciwzapalne. Poprzez regulację odpowiedzi zapalnej i funkcji immunologicznych stanowią ważny element w procesie gojenia ran. Według badań suplementacja kwasów tłuszczowych EPA i DHA może przyspieszyć proces gojenia. </w:t>
      </w:r>
    </w:p>
    <w:p w14:paraId="00000054" w14:textId="77777777" w:rsidR="00D95554" w:rsidRPr="000F62CD" w:rsidRDefault="00D95554">
      <w:pPr>
        <w:spacing w:line="360" w:lineRule="auto"/>
        <w:jc w:val="both"/>
        <w:rPr>
          <w:rFonts w:asciiTheme="majorHAnsi" w:hAnsiTheme="majorHAnsi" w:cstheme="majorHAnsi"/>
        </w:rPr>
      </w:pPr>
    </w:p>
    <w:p w14:paraId="00000055" w14:textId="7777777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Produkty bogate w kwasy omega-3:</w:t>
      </w:r>
    </w:p>
    <w:p w14:paraId="00000056" w14:textId="77777777" w:rsidR="00D95554" w:rsidRPr="000F62CD" w:rsidRDefault="003E0481">
      <w:pPr>
        <w:numPr>
          <w:ilvl w:val="0"/>
          <w:numId w:val="4"/>
        </w:numPr>
        <w:spacing w:line="360" w:lineRule="auto"/>
        <w:jc w:val="both"/>
        <w:rPr>
          <w:rFonts w:asciiTheme="majorHAnsi" w:hAnsiTheme="majorHAnsi" w:cstheme="majorHAnsi"/>
        </w:rPr>
      </w:pPr>
      <w:r w:rsidRPr="000F62CD">
        <w:rPr>
          <w:rFonts w:asciiTheme="majorHAnsi" w:hAnsiTheme="majorHAnsi" w:cstheme="majorHAnsi"/>
        </w:rPr>
        <w:t>tłuste ryby morskie: łosoś, śledź, makrela, sardynki</w:t>
      </w:r>
    </w:p>
    <w:p w14:paraId="00000057" w14:textId="77777777" w:rsidR="00D95554" w:rsidRPr="000F62CD" w:rsidRDefault="003E0481">
      <w:pPr>
        <w:numPr>
          <w:ilvl w:val="0"/>
          <w:numId w:val="4"/>
        </w:numPr>
        <w:spacing w:line="360" w:lineRule="auto"/>
        <w:jc w:val="both"/>
        <w:rPr>
          <w:rFonts w:asciiTheme="majorHAnsi" w:hAnsiTheme="majorHAnsi" w:cstheme="majorHAnsi"/>
        </w:rPr>
      </w:pPr>
      <w:r w:rsidRPr="000F62CD">
        <w:rPr>
          <w:rFonts w:asciiTheme="majorHAnsi" w:hAnsiTheme="majorHAnsi" w:cstheme="majorHAnsi"/>
        </w:rPr>
        <w:t>owoce morza</w:t>
      </w:r>
    </w:p>
    <w:p w14:paraId="00000058" w14:textId="77777777" w:rsidR="00D95554" w:rsidRPr="000F62CD" w:rsidRDefault="003E0481">
      <w:pPr>
        <w:numPr>
          <w:ilvl w:val="0"/>
          <w:numId w:val="4"/>
        </w:numPr>
        <w:spacing w:line="360" w:lineRule="auto"/>
        <w:jc w:val="both"/>
        <w:rPr>
          <w:rFonts w:asciiTheme="majorHAnsi" w:hAnsiTheme="majorHAnsi" w:cstheme="majorHAnsi"/>
        </w:rPr>
      </w:pPr>
      <w:r w:rsidRPr="000F62CD">
        <w:rPr>
          <w:rFonts w:asciiTheme="majorHAnsi" w:hAnsiTheme="majorHAnsi" w:cstheme="majorHAnsi"/>
        </w:rPr>
        <w:t>oleje roślinne: oliwa z oliwek, olej rzepakowy, olej lniany</w:t>
      </w:r>
    </w:p>
    <w:p w14:paraId="0000005A" w14:textId="66B46B70" w:rsidR="00D95554" w:rsidRPr="00091BED" w:rsidRDefault="003E0481" w:rsidP="00091BED">
      <w:pPr>
        <w:numPr>
          <w:ilvl w:val="0"/>
          <w:numId w:val="4"/>
        </w:numPr>
        <w:spacing w:line="360" w:lineRule="auto"/>
        <w:jc w:val="both"/>
        <w:rPr>
          <w:rFonts w:asciiTheme="majorHAnsi" w:hAnsiTheme="majorHAnsi" w:cstheme="majorHAnsi"/>
        </w:rPr>
      </w:pPr>
      <w:r w:rsidRPr="000F62CD">
        <w:rPr>
          <w:rFonts w:asciiTheme="majorHAnsi" w:hAnsiTheme="majorHAnsi" w:cstheme="majorHAnsi"/>
        </w:rPr>
        <w:t>orzechy, pestki, nasiona np. orzechy włoskie, siemię lniane</w:t>
      </w:r>
    </w:p>
    <w:p w14:paraId="0000005B" w14:textId="6F7F2858"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ab/>
      </w:r>
      <w:r w:rsidR="000F62CD" w:rsidRPr="000F62CD">
        <w:rPr>
          <w:rFonts w:asciiTheme="majorHAnsi" w:hAnsiTheme="majorHAnsi" w:cstheme="majorHAnsi"/>
        </w:rPr>
        <w:t>Realizacja</w:t>
      </w:r>
      <w:r w:rsidRPr="000F62CD">
        <w:rPr>
          <w:rFonts w:asciiTheme="majorHAnsi" w:hAnsiTheme="majorHAnsi" w:cstheme="majorHAnsi"/>
        </w:rPr>
        <w:t xml:space="preserve"> zapotrzebowania białkowo-energetycznego w przypadku pacjentów niedożywionych i/lub zagrożonych niedożywieniem może okazać się niemożliwe wyłącznie dietą doustną. Z tego względu warto wzbogacić dietę w preparaty specjalnego przeznaczenia medycznego (</w:t>
      </w:r>
      <w:r w:rsidR="00F84B51" w:rsidRPr="000F62CD">
        <w:rPr>
          <w:rFonts w:asciiTheme="majorHAnsi" w:hAnsiTheme="majorHAnsi" w:cstheme="majorHAnsi"/>
        </w:rPr>
        <w:t>ang. </w:t>
      </w:r>
      <w:r w:rsidR="00F84B51" w:rsidRPr="000F62CD">
        <w:rPr>
          <w:rStyle w:val="Uwydatnienie"/>
          <w:rFonts w:asciiTheme="majorHAnsi" w:hAnsiTheme="majorHAnsi" w:cstheme="majorHAnsi"/>
          <w:color w:val="0A0A0A"/>
          <w:shd w:val="clear" w:color="auto" w:fill="FFFFFF"/>
        </w:rPr>
        <w:t xml:space="preserve">Food for Special Medical </w:t>
      </w:r>
      <w:proofErr w:type="spellStart"/>
      <w:r w:rsidR="00F84B51" w:rsidRPr="000F62CD">
        <w:rPr>
          <w:rStyle w:val="Uwydatnienie"/>
          <w:rFonts w:asciiTheme="majorHAnsi" w:hAnsiTheme="majorHAnsi" w:cstheme="majorHAnsi"/>
          <w:color w:val="0A0A0A"/>
          <w:shd w:val="clear" w:color="auto" w:fill="FFFFFF"/>
        </w:rPr>
        <w:t>Purposes</w:t>
      </w:r>
      <w:proofErr w:type="spellEnd"/>
      <w:r w:rsidR="00F84B51" w:rsidRPr="000F62CD">
        <w:rPr>
          <w:rFonts w:asciiTheme="majorHAnsi" w:hAnsiTheme="majorHAnsi" w:cstheme="majorHAnsi"/>
          <w:color w:val="0A0A0A"/>
          <w:shd w:val="clear" w:color="auto" w:fill="FFFFFF"/>
        </w:rPr>
        <w:t xml:space="preserve">, </w:t>
      </w:r>
      <w:r w:rsidRPr="000F62CD">
        <w:rPr>
          <w:rFonts w:asciiTheme="majorHAnsi" w:hAnsiTheme="majorHAnsi" w:cstheme="majorHAnsi"/>
        </w:rPr>
        <w:t xml:space="preserve">FSMP). Dobór odpowiedniego preparatu powinien zależeć od </w:t>
      </w:r>
      <w:r w:rsidRPr="000F62CD">
        <w:rPr>
          <w:rFonts w:asciiTheme="majorHAnsi" w:hAnsiTheme="majorHAnsi" w:cstheme="majorHAnsi"/>
        </w:rPr>
        <w:lastRenderedPageBreak/>
        <w:t xml:space="preserve">indywidualnych potrzeb danego pacjenta. Rekomenduje się przyjmowanie 1-3 porcji diet przemysłowych w ciągu dnia, najlepiej pomiędzy posiłkami. </w:t>
      </w:r>
    </w:p>
    <w:p w14:paraId="0000005C" w14:textId="77777777" w:rsidR="00D95554" w:rsidRPr="000F62CD" w:rsidRDefault="00D95554">
      <w:pPr>
        <w:spacing w:line="360" w:lineRule="auto"/>
        <w:jc w:val="both"/>
        <w:rPr>
          <w:rFonts w:asciiTheme="majorHAnsi" w:hAnsiTheme="majorHAnsi" w:cstheme="majorHAnsi"/>
        </w:rPr>
      </w:pPr>
    </w:p>
    <w:p w14:paraId="0000005D" w14:textId="328A96CF" w:rsidR="00D95554" w:rsidRPr="000F62CD" w:rsidRDefault="00F84B51">
      <w:pPr>
        <w:spacing w:line="360" w:lineRule="auto"/>
        <w:jc w:val="both"/>
        <w:rPr>
          <w:rFonts w:asciiTheme="majorHAnsi" w:hAnsiTheme="majorHAnsi" w:cstheme="majorHAnsi"/>
        </w:rPr>
      </w:pPr>
      <w:r w:rsidRPr="000F62CD">
        <w:rPr>
          <w:rFonts w:asciiTheme="majorHAnsi" w:hAnsiTheme="majorHAnsi" w:cstheme="majorHAnsi"/>
        </w:rPr>
        <w:t xml:space="preserve">Autorka: mgr Klaudia Boczkowska, Dział Dietetyki, USK 4 w Lublinie </w:t>
      </w:r>
    </w:p>
    <w:p w14:paraId="0000005E" w14:textId="77777777" w:rsidR="00D95554" w:rsidRPr="000F62CD" w:rsidRDefault="00D95554">
      <w:pPr>
        <w:spacing w:line="360" w:lineRule="auto"/>
        <w:jc w:val="both"/>
        <w:rPr>
          <w:rFonts w:asciiTheme="majorHAnsi" w:hAnsiTheme="majorHAnsi" w:cstheme="majorHAnsi"/>
        </w:rPr>
      </w:pPr>
    </w:p>
    <w:p w14:paraId="0000005F" w14:textId="77777777" w:rsidR="00D95554" w:rsidRPr="000F62CD" w:rsidRDefault="003E0481">
      <w:pPr>
        <w:spacing w:line="360" w:lineRule="auto"/>
        <w:jc w:val="both"/>
        <w:rPr>
          <w:rFonts w:asciiTheme="majorHAnsi" w:hAnsiTheme="majorHAnsi" w:cstheme="majorHAnsi"/>
        </w:rPr>
      </w:pPr>
      <w:r w:rsidRPr="000F62CD">
        <w:rPr>
          <w:rFonts w:asciiTheme="majorHAnsi" w:hAnsiTheme="majorHAnsi" w:cstheme="majorHAnsi"/>
        </w:rPr>
        <w:t>Bibliografia:</w:t>
      </w:r>
    </w:p>
    <w:p w14:paraId="00000060" w14:textId="77777777" w:rsidR="00D95554" w:rsidRPr="000F62CD" w:rsidRDefault="003E0481">
      <w:pPr>
        <w:numPr>
          <w:ilvl w:val="0"/>
          <w:numId w:val="5"/>
        </w:numPr>
        <w:spacing w:line="360" w:lineRule="auto"/>
        <w:jc w:val="both"/>
        <w:rPr>
          <w:rFonts w:asciiTheme="majorHAnsi" w:hAnsiTheme="majorHAnsi" w:cstheme="majorHAnsi"/>
        </w:rPr>
      </w:pPr>
      <w:r w:rsidRPr="000F62CD">
        <w:rPr>
          <w:rFonts w:asciiTheme="majorHAnsi" w:hAnsiTheme="majorHAnsi" w:cstheme="majorHAnsi"/>
        </w:rPr>
        <w:t xml:space="preserve">Gajek M.D., </w:t>
      </w:r>
      <w:proofErr w:type="spellStart"/>
      <w:r w:rsidRPr="000F62CD">
        <w:rPr>
          <w:rFonts w:asciiTheme="majorHAnsi" w:hAnsiTheme="majorHAnsi" w:cstheme="majorHAnsi"/>
        </w:rPr>
        <w:t>Oskwarek</w:t>
      </w:r>
      <w:proofErr w:type="spellEnd"/>
      <w:r w:rsidRPr="000F62CD">
        <w:rPr>
          <w:rFonts w:asciiTheme="majorHAnsi" w:hAnsiTheme="majorHAnsi" w:cstheme="majorHAnsi"/>
        </w:rPr>
        <w:t xml:space="preserve"> U.M., </w:t>
      </w:r>
      <w:proofErr w:type="spellStart"/>
      <w:r w:rsidRPr="000F62CD">
        <w:rPr>
          <w:rFonts w:asciiTheme="majorHAnsi" w:hAnsiTheme="majorHAnsi" w:cstheme="majorHAnsi"/>
        </w:rPr>
        <w:t>Panz</w:t>
      </w:r>
      <w:proofErr w:type="spellEnd"/>
      <w:r w:rsidRPr="000F62CD">
        <w:rPr>
          <w:rFonts w:asciiTheme="majorHAnsi" w:hAnsiTheme="majorHAnsi" w:cstheme="majorHAnsi"/>
        </w:rPr>
        <w:t xml:space="preserve"> W.T., </w:t>
      </w:r>
      <w:proofErr w:type="spellStart"/>
      <w:r w:rsidRPr="000F62CD">
        <w:rPr>
          <w:rFonts w:asciiTheme="majorHAnsi" w:hAnsiTheme="majorHAnsi" w:cstheme="majorHAnsi"/>
        </w:rPr>
        <w:t>Kłęk</w:t>
      </w:r>
      <w:proofErr w:type="spellEnd"/>
      <w:r w:rsidRPr="000F62CD">
        <w:rPr>
          <w:rFonts w:asciiTheme="majorHAnsi" w:hAnsiTheme="majorHAnsi" w:cstheme="majorHAnsi"/>
        </w:rPr>
        <w:t xml:space="preserve"> S. - Znaczenie i rola interwencji żywieniowej we wspomaganiu leczenia ran przewlekłych w onkologii. Postępy żywienia klinicznego, 2025; 20: s. 90-97.</w:t>
      </w:r>
    </w:p>
    <w:p w14:paraId="00000061" w14:textId="77777777" w:rsidR="00D95554" w:rsidRPr="000F62CD" w:rsidRDefault="003E0481">
      <w:pPr>
        <w:numPr>
          <w:ilvl w:val="0"/>
          <w:numId w:val="5"/>
        </w:numPr>
        <w:spacing w:line="360" w:lineRule="auto"/>
        <w:jc w:val="both"/>
        <w:rPr>
          <w:rFonts w:asciiTheme="majorHAnsi" w:hAnsiTheme="majorHAnsi" w:cstheme="majorHAnsi"/>
        </w:rPr>
      </w:pPr>
      <w:proofErr w:type="spellStart"/>
      <w:r w:rsidRPr="000F62CD">
        <w:rPr>
          <w:rFonts w:asciiTheme="majorHAnsi" w:hAnsiTheme="majorHAnsi" w:cstheme="majorHAnsi"/>
        </w:rPr>
        <w:t>Kłęk</w:t>
      </w:r>
      <w:proofErr w:type="spellEnd"/>
      <w:r w:rsidRPr="000F62CD">
        <w:rPr>
          <w:rFonts w:asciiTheme="majorHAnsi" w:hAnsiTheme="majorHAnsi" w:cstheme="majorHAnsi"/>
        </w:rPr>
        <w:t xml:space="preserve"> S. - </w:t>
      </w:r>
      <w:proofErr w:type="spellStart"/>
      <w:r w:rsidRPr="000F62CD">
        <w:rPr>
          <w:rFonts w:asciiTheme="majorHAnsi" w:hAnsiTheme="majorHAnsi" w:cstheme="majorHAnsi"/>
        </w:rPr>
        <w:t>Recomed</w:t>
      </w:r>
      <w:proofErr w:type="spellEnd"/>
      <w:r w:rsidRPr="000F62CD">
        <w:rPr>
          <w:rFonts w:asciiTheme="majorHAnsi" w:hAnsiTheme="majorHAnsi" w:cstheme="majorHAnsi"/>
        </w:rPr>
        <w:t xml:space="preserve"> Skin - leczenie ran pooperacyjnych. Leczenie żywieniowe, 2025, NR 2 (5), s. 36-40.</w:t>
      </w:r>
    </w:p>
    <w:p w14:paraId="00000062" w14:textId="77777777" w:rsidR="00D95554" w:rsidRPr="000F62CD" w:rsidRDefault="003E0481">
      <w:pPr>
        <w:numPr>
          <w:ilvl w:val="0"/>
          <w:numId w:val="5"/>
        </w:numPr>
        <w:spacing w:line="360" w:lineRule="auto"/>
        <w:jc w:val="both"/>
        <w:rPr>
          <w:rFonts w:asciiTheme="majorHAnsi" w:hAnsiTheme="majorHAnsi" w:cstheme="majorHAnsi"/>
        </w:rPr>
      </w:pPr>
      <w:r w:rsidRPr="000F62CD">
        <w:rPr>
          <w:rFonts w:asciiTheme="majorHAnsi" w:hAnsiTheme="majorHAnsi" w:cstheme="majorHAnsi"/>
        </w:rPr>
        <w:t>Wnęk D.: Witamina A - źródła, właściwości, działanie, skutki niedoboru. Medycyna Praktyczna. Dostęp z dn. 14.03.2026 r.</w:t>
      </w:r>
    </w:p>
    <w:sectPr w:rsidR="00D95554" w:rsidRPr="000F62CD">
      <w:headerReference w:type="default" r:id="rId7"/>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89C0C" w14:textId="77777777" w:rsidR="00A07E62" w:rsidRDefault="00A07E62">
      <w:pPr>
        <w:spacing w:line="240" w:lineRule="auto"/>
      </w:pPr>
      <w:r>
        <w:separator/>
      </w:r>
    </w:p>
  </w:endnote>
  <w:endnote w:type="continuationSeparator" w:id="0">
    <w:p w14:paraId="64E99B78" w14:textId="77777777" w:rsidR="00A07E62" w:rsidRDefault="00A07E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1AC1E3D-B28E-4A0D-9FA4-9D7EA2D00DE5}"/>
    <w:embedItalic r:id="rId2" w:fontKey="{FEE8A302-6065-4307-8AD8-2E7867A85B0A}"/>
  </w:font>
  <w:font w:name="Cambria">
    <w:panose1 w:val="02040503050406030204"/>
    <w:charset w:val="EE"/>
    <w:family w:val="roman"/>
    <w:pitch w:val="variable"/>
    <w:sig w:usb0="E00006FF" w:usb1="420024FF" w:usb2="02000000" w:usb3="00000000" w:csb0="0000019F" w:csb1="00000000"/>
    <w:embedRegular r:id="rId3" w:fontKey="{B5D51FE2-CB4B-4E72-A672-886CF1306B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64" w14:textId="77777777" w:rsidR="00D95554" w:rsidRDefault="00D955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480E8" w14:textId="77777777" w:rsidR="00A07E62" w:rsidRDefault="00A07E62">
      <w:pPr>
        <w:spacing w:line="240" w:lineRule="auto"/>
      </w:pPr>
      <w:r>
        <w:separator/>
      </w:r>
    </w:p>
  </w:footnote>
  <w:footnote w:type="continuationSeparator" w:id="0">
    <w:p w14:paraId="3587518E" w14:textId="77777777" w:rsidR="00A07E62" w:rsidRDefault="00A07E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63" w14:textId="77777777" w:rsidR="00D95554" w:rsidRDefault="00D955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A2EC8"/>
    <w:multiLevelType w:val="multilevel"/>
    <w:tmpl w:val="CEB6B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D159E5"/>
    <w:multiLevelType w:val="multilevel"/>
    <w:tmpl w:val="DAAC7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1A3F42"/>
    <w:multiLevelType w:val="multilevel"/>
    <w:tmpl w:val="32EA8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D121A5"/>
    <w:multiLevelType w:val="multilevel"/>
    <w:tmpl w:val="E3B2A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874F75"/>
    <w:multiLevelType w:val="multilevel"/>
    <w:tmpl w:val="16D425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F695D7C"/>
    <w:multiLevelType w:val="multilevel"/>
    <w:tmpl w:val="6E227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1F6D35"/>
    <w:multiLevelType w:val="multilevel"/>
    <w:tmpl w:val="C3228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8D3836"/>
    <w:multiLevelType w:val="multilevel"/>
    <w:tmpl w:val="3FCCE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6"/>
  </w:num>
  <w:num w:numId="3">
    <w:abstractNumId w:val="7"/>
  </w:num>
  <w:num w:numId="4">
    <w:abstractNumId w:val="2"/>
  </w:num>
  <w:num w:numId="5">
    <w:abstractNumId w:val="4"/>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554"/>
    <w:rsid w:val="00091BED"/>
    <w:rsid w:val="000F62CD"/>
    <w:rsid w:val="00292978"/>
    <w:rsid w:val="00312F72"/>
    <w:rsid w:val="003E0481"/>
    <w:rsid w:val="004C3E1E"/>
    <w:rsid w:val="00A07E62"/>
    <w:rsid w:val="00D95554"/>
    <w:rsid w:val="00F84B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5FB63D-61A3-49E4-AD46-27BB5FA57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iCs/>
      <w:color w:val="666666"/>
    </w:rPr>
  </w:style>
  <w:style w:type="paragraph" w:styleId="Nagwek7">
    <w:name w:val="heading 7"/>
    <w:basedOn w:val="Normalny"/>
    <w:next w:val="Normalny"/>
    <w:link w:val="Nagwek7Znak"/>
    <w:uiPriority w:val="9"/>
    <w:unhideWhenUsed/>
    <w:qFormat/>
    <w:rsid w:val="00292978"/>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character" w:styleId="Uwydatnienie">
    <w:name w:val="Emphasis"/>
    <w:basedOn w:val="Domylnaczcionkaakapitu"/>
    <w:uiPriority w:val="20"/>
    <w:qFormat/>
    <w:rsid w:val="00F84B51"/>
    <w:rPr>
      <w:i/>
      <w:iCs/>
    </w:rPr>
  </w:style>
  <w:style w:type="character" w:customStyle="1" w:styleId="Nagwek7Znak">
    <w:name w:val="Nagłówek 7 Znak"/>
    <w:basedOn w:val="Domylnaczcionkaakapitu"/>
    <w:link w:val="Nagwek7"/>
    <w:uiPriority w:val="9"/>
    <w:rsid w:val="00292978"/>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1142</Words>
  <Characters>6855</Characters>
  <Application>Microsoft Office Word</Application>
  <DocSecurity>0</DocSecurity>
  <Lines>57</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Antoń-Jucha Agnieszka</cp:lastModifiedBy>
  <cp:revision>2</cp:revision>
  <dcterms:created xsi:type="dcterms:W3CDTF">2026-03-31T12:00:00Z</dcterms:created>
  <dcterms:modified xsi:type="dcterms:W3CDTF">2026-03-31T12:00:00Z</dcterms:modified>
</cp:coreProperties>
</file>