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447FE9" w:rsidRPr="000F3048" w:rsidRDefault="000F3048" w:rsidP="000F3048">
      <w:pPr>
        <w:pStyle w:val="Nagwek7"/>
        <w:rPr>
          <w:rFonts w:eastAsia="Times New Roman"/>
          <w:i w:val="0"/>
          <w:sz w:val="28"/>
        </w:rPr>
      </w:pPr>
      <w:bookmarkStart w:id="0" w:name="_GoBack"/>
      <w:r w:rsidRPr="000F3048">
        <w:rPr>
          <w:rFonts w:eastAsia="Times New Roman"/>
          <w:i w:val="0"/>
          <w:sz w:val="28"/>
        </w:rPr>
        <w:t>Dieta w okresie bezpośrednio poprzedzającym duże zabiegi operacyjne</w:t>
      </w:r>
    </w:p>
    <w:bookmarkEnd w:id="0"/>
    <w:p w14:paraId="00000002" w14:textId="77777777" w:rsidR="00447FE9" w:rsidRDefault="00447FE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77777777" w:rsidR="00447FE9" w:rsidRPr="000F3048" w:rsidRDefault="000F3048">
      <w:pPr>
        <w:spacing w:before="240" w:after="240" w:line="360" w:lineRule="auto"/>
        <w:ind w:firstLine="720"/>
        <w:jc w:val="both"/>
        <w:rPr>
          <w:rFonts w:ascii="Calibri" w:eastAsia="Times New Roman" w:hAnsi="Calibri" w:cs="Calibri"/>
          <w:sz w:val="24"/>
          <w:szCs w:val="24"/>
        </w:rPr>
      </w:pPr>
      <w:r w:rsidRPr="000F3048">
        <w:rPr>
          <w:rFonts w:ascii="Calibri" w:eastAsia="Times New Roman" w:hAnsi="Calibri" w:cs="Calibri"/>
          <w:sz w:val="24"/>
          <w:szCs w:val="24"/>
        </w:rPr>
        <w:t>We współczesnej opiece okołooperacyjnej dąży się do</w:t>
      </w:r>
      <w:r w:rsidRPr="000F3048">
        <w:rPr>
          <w:rFonts w:ascii="Calibri" w:eastAsia="Times New Roman" w:hAnsi="Calibri" w:cs="Calibri"/>
          <w:b/>
          <w:bCs/>
          <w:sz w:val="24"/>
          <w:szCs w:val="24"/>
        </w:rPr>
        <w:t xml:space="preserve"> maksymalnego skrócenia czasu głodzenia pacjenta zarówno przed operacją jak i po niej</w:t>
      </w:r>
      <w:r w:rsidRPr="000F3048">
        <w:rPr>
          <w:rFonts w:ascii="Calibri" w:eastAsia="Times New Roman" w:hAnsi="Calibri" w:cs="Calibri"/>
          <w:sz w:val="24"/>
          <w:szCs w:val="24"/>
        </w:rPr>
        <w:t xml:space="preserve">. Żywienie pacjenta przed zabiegiem operacyjnym powinno pokrywać jego indywidualne zapotrzebowanie na energię oraz wszystkie niezbędne składniki odżywcze (tj. białka, tłuszcze, węglowodany, witaminy i składniki mineralne). W przypadku braku przeciwwskazań zdrowotnych na minimum 14 dni przed planowanym zabiegiem operacyjnym zaleca się wdrożenie diety </w:t>
      </w:r>
      <w:proofErr w:type="spellStart"/>
      <w:r w:rsidRPr="000F3048">
        <w:rPr>
          <w:rFonts w:ascii="Calibri" w:eastAsia="Times New Roman" w:hAnsi="Calibri" w:cs="Calibri"/>
          <w:b/>
          <w:bCs/>
          <w:sz w:val="24"/>
          <w:szCs w:val="24"/>
        </w:rPr>
        <w:t>bogatobiałkowej</w:t>
      </w:r>
      <w:proofErr w:type="spellEnd"/>
      <w:r w:rsidRPr="000F3048">
        <w:rPr>
          <w:rFonts w:ascii="Calibri" w:eastAsia="Times New Roman" w:hAnsi="Calibri" w:cs="Calibri"/>
          <w:sz w:val="24"/>
          <w:szCs w:val="24"/>
        </w:rPr>
        <w:t xml:space="preserve">, </w:t>
      </w:r>
      <w:proofErr w:type="spellStart"/>
      <w:r w:rsidRPr="000F3048">
        <w:rPr>
          <w:rFonts w:ascii="Calibri" w:eastAsia="Times New Roman" w:hAnsi="Calibri" w:cs="Calibri"/>
          <w:b/>
          <w:bCs/>
          <w:sz w:val="24"/>
          <w:szCs w:val="24"/>
        </w:rPr>
        <w:t>bogatobłonnikowej</w:t>
      </w:r>
      <w:proofErr w:type="spellEnd"/>
      <w:r w:rsidRPr="000F3048">
        <w:rPr>
          <w:rFonts w:ascii="Calibri" w:eastAsia="Times New Roman" w:hAnsi="Calibri" w:cs="Calibri"/>
          <w:sz w:val="24"/>
          <w:szCs w:val="24"/>
        </w:rPr>
        <w:t>. Optymalnie proces prehabilitacji może trwać nawet 4-6 tygodni.  Podaż białka w diecie powinna wynosić</w:t>
      </w:r>
      <w:r w:rsidRPr="000F3048">
        <w:rPr>
          <w:rFonts w:ascii="Calibri" w:eastAsia="Times New Roman" w:hAnsi="Calibri" w:cs="Calibri"/>
          <w:b/>
          <w:bCs/>
          <w:sz w:val="24"/>
          <w:szCs w:val="24"/>
        </w:rPr>
        <w:t xml:space="preserve"> 1,2- 1,8 g/kg </w:t>
      </w:r>
      <w:proofErr w:type="spellStart"/>
      <w:r w:rsidRPr="000F3048">
        <w:rPr>
          <w:rFonts w:ascii="Calibri" w:eastAsia="Times New Roman" w:hAnsi="Calibri" w:cs="Calibri"/>
          <w:b/>
          <w:bCs/>
          <w:sz w:val="24"/>
          <w:szCs w:val="24"/>
        </w:rPr>
        <w:t>m.c</w:t>
      </w:r>
      <w:proofErr w:type="spellEnd"/>
      <w:r w:rsidRPr="000F3048">
        <w:rPr>
          <w:rFonts w:ascii="Calibri" w:eastAsia="Times New Roman" w:hAnsi="Calibri" w:cs="Calibri"/>
          <w:b/>
          <w:bCs/>
          <w:sz w:val="24"/>
          <w:szCs w:val="24"/>
        </w:rPr>
        <w:t>./dobę</w:t>
      </w:r>
      <w:r w:rsidRPr="000F3048">
        <w:rPr>
          <w:rFonts w:ascii="Calibri" w:eastAsia="Times New Roman" w:hAnsi="Calibri" w:cs="Calibri"/>
          <w:sz w:val="24"/>
          <w:szCs w:val="24"/>
        </w:rPr>
        <w:t xml:space="preserve">. Natomiast zalecana ilość błonnika według WHO powinna wynosić </w:t>
      </w:r>
      <w:r w:rsidRPr="000F3048">
        <w:rPr>
          <w:rFonts w:ascii="Calibri" w:eastAsia="Times New Roman" w:hAnsi="Calibri" w:cs="Calibri"/>
          <w:b/>
          <w:bCs/>
          <w:sz w:val="24"/>
          <w:szCs w:val="24"/>
        </w:rPr>
        <w:t>27-40 g/dobę</w:t>
      </w:r>
      <w:r w:rsidRPr="000F3048">
        <w:rPr>
          <w:rFonts w:ascii="Calibri" w:eastAsia="Times New Roman" w:hAnsi="Calibri" w:cs="Calibri"/>
          <w:sz w:val="24"/>
          <w:szCs w:val="24"/>
        </w:rPr>
        <w:t xml:space="preserve">. Podaż produktów bogatych w błonnik należy zwiększać stopniowo, przy jednoczesnym zwiększaniu ilości przyjmowanych płynów aby uniknąć wystąpienia zaparć i wzdęć. Z uwagi na zalecane zwiększenie w diecie podaży produktów będących źródłem błonnika należy </w:t>
      </w:r>
      <w:r w:rsidRPr="000F3048">
        <w:rPr>
          <w:rFonts w:ascii="Calibri" w:eastAsia="Times New Roman" w:hAnsi="Calibri" w:cs="Calibri"/>
          <w:b/>
          <w:bCs/>
          <w:sz w:val="24"/>
          <w:szCs w:val="24"/>
        </w:rPr>
        <w:t>zadbać o odpowiednią podaż płynów w ciągu dnia - min. 2 l/ dobę</w:t>
      </w:r>
      <w:r w:rsidRPr="000F3048">
        <w:rPr>
          <w:rFonts w:ascii="Calibri" w:eastAsia="Times New Roman" w:hAnsi="Calibri" w:cs="Calibri"/>
          <w:sz w:val="24"/>
          <w:szCs w:val="24"/>
        </w:rPr>
        <w:t xml:space="preserve">. </w:t>
      </w:r>
    </w:p>
    <w:p w14:paraId="00000004" w14:textId="77777777" w:rsidR="00447FE9" w:rsidRPr="000F3048" w:rsidRDefault="000F3048">
      <w:pPr>
        <w:spacing w:before="240" w:after="240" w:line="360" w:lineRule="auto"/>
        <w:ind w:firstLine="720"/>
        <w:jc w:val="both"/>
        <w:rPr>
          <w:rFonts w:ascii="Calibri" w:eastAsia="Times New Roman" w:hAnsi="Calibri" w:cs="Calibri"/>
          <w:sz w:val="24"/>
          <w:szCs w:val="24"/>
        </w:rPr>
      </w:pPr>
      <w:r w:rsidRPr="000F3048">
        <w:rPr>
          <w:rFonts w:ascii="Calibri" w:eastAsia="Times New Roman" w:hAnsi="Calibri" w:cs="Calibri"/>
          <w:sz w:val="24"/>
          <w:szCs w:val="24"/>
        </w:rPr>
        <w:t>W przypadku pacjentów poddawanych dużym zabiegom operacyjnym i/lub pacjentom  niedożywionym na min. 7-14 dni przed planowanym zabiegiem operacyjnym należy uwzględnić fortyfikację diety w FSMP z dodatkiem  substancji immunomodulujących (tj.  kwasy omega-3, DPA, EHA, arginina, glutamina). Zalecana podaż preparatów diet przemysłowych to 2 x1 porcja na dobę - najlepiej spożywać je pomiędzy posiłkami.</w:t>
      </w:r>
    </w:p>
    <w:p w14:paraId="00000005" w14:textId="77777777" w:rsidR="00447FE9" w:rsidRPr="000F3048" w:rsidRDefault="000F3048">
      <w:pPr>
        <w:spacing w:before="240" w:after="240" w:line="360" w:lineRule="auto"/>
        <w:ind w:firstLine="720"/>
        <w:jc w:val="both"/>
        <w:rPr>
          <w:rFonts w:ascii="Calibri" w:eastAsia="Times New Roman" w:hAnsi="Calibri" w:cs="Calibri"/>
          <w:sz w:val="24"/>
          <w:szCs w:val="24"/>
        </w:rPr>
      </w:pPr>
      <w:r w:rsidRPr="000F3048">
        <w:rPr>
          <w:rFonts w:ascii="Calibri" w:eastAsia="Times New Roman" w:hAnsi="Calibri" w:cs="Calibri"/>
          <w:sz w:val="24"/>
          <w:szCs w:val="24"/>
        </w:rPr>
        <w:t>Po przyjęciu pacjenta do szpitala nie zaleca się rutynowego głodzenia pacjentów. Według wytycznych protokołu ERAS zalecana jest:</w:t>
      </w:r>
    </w:p>
    <w:p w14:paraId="00000006" w14:textId="77777777" w:rsidR="00447FE9" w:rsidRPr="000F3048" w:rsidRDefault="000F3048">
      <w:pPr>
        <w:numPr>
          <w:ilvl w:val="0"/>
          <w:numId w:val="2"/>
        </w:numPr>
        <w:spacing w:before="240"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0F3048">
        <w:rPr>
          <w:rFonts w:ascii="Calibri" w:eastAsia="Times New Roman" w:hAnsi="Calibri" w:cs="Calibri"/>
          <w:sz w:val="24"/>
          <w:szCs w:val="24"/>
        </w:rPr>
        <w:t xml:space="preserve">6-godzinna przerwa w przyjmowaniu pokarmów stałych, </w:t>
      </w:r>
    </w:p>
    <w:p w14:paraId="00000007" w14:textId="77777777" w:rsidR="00447FE9" w:rsidRPr="000F3048" w:rsidRDefault="000F3048">
      <w:pPr>
        <w:numPr>
          <w:ilvl w:val="0"/>
          <w:numId w:val="2"/>
        </w:numPr>
        <w:spacing w:after="240"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0F3048">
        <w:rPr>
          <w:rFonts w:ascii="Calibri" w:eastAsia="Times New Roman" w:hAnsi="Calibri" w:cs="Calibri"/>
          <w:sz w:val="24"/>
          <w:szCs w:val="24"/>
        </w:rPr>
        <w:t xml:space="preserve">2-godzinna w przyjmowaniu klarownych płynów. </w:t>
      </w:r>
    </w:p>
    <w:p w14:paraId="00000008" w14:textId="77777777" w:rsidR="00447FE9" w:rsidRPr="000F3048" w:rsidRDefault="000F3048">
      <w:pPr>
        <w:spacing w:before="240" w:after="240"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</w:rPr>
      </w:pPr>
      <w:r w:rsidRPr="000F3048">
        <w:rPr>
          <w:rFonts w:ascii="Calibri" w:eastAsia="Times New Roman" w:hAnsi="Calibri" w:cs="Calibri"/>
          <w:b/>
          <w:bCs/>
          <w:sz w:val="24"/>
          <w:szCs w:val="24"/>
        </w:rPr>
        <w:t xml:space="preserve">Zachęcanie pacjentów do spożywania klarownych płynów (do 2 h przed zabiegiem) wpływa korzystnie na nawodnienie i gospodarkę elektrolitową pacjenta. </w:t>
      </w:r>
      <w:r w:rsidRPr="000F3048">
        <w:rPr>
          <w:rFonts w:ascii="Calibri" w:eastAsia="Times New Roman" w:hAnsi="Calibri" w:cs="Calibri"/>
          <w:sz w:val="24"/>
          <w:szCs w:val="24"/>
        </w:rPr>
        <w:t>Dodatkowo jednym z głównych elementów protokołu opartego na zasadach ERAS jest podanie pacjentowi wysokowęglowodanowego</w:t>
      </w:r>
      <w:r w:rsidRPr="000F3048">
        <w:rPr>
          <w:rFonts w:ascii="Calibri" w:eastAsia="Times New Roman" w:hAnsi="Calibri" w:cs="Calibri"/>
          <w:b/>
          <w:bCs/>
          <w:sz w:val="24"/>
          <w:szCs w:val="24"/>
        </w:rPr>
        <w:t xml:space="preserve"> napoju na 2–3 godziny przed zabiegiem operacyjnym. </w:t>
      </w:r>
      <w:r w:rsidRPr="000F3048">
        <w:rPr>
          <w:rFonts w:ascii="Calibri" w:eastAsia="Times New Roman" w:hAnsi="Calibri" w:cs="Calibri"/>
          <w:sz w:val="24"/>
          <w:szCs w:val="24"/>
        </w:rPr>
        <w:t xml:space="preserve">Zgodnie z wytycznymi krajowych i zagranicznych towarzystw anestezjologicznych postępowanie </w:t>
      </w:r>
      <w:r w:rsidRPr="000F3048">
        <w:rPr>
          <w:rFonts w:ascii="Calibri" w:eastAsia="Times New Roman" w:hAnsi="Calibri" w:cs="Calibri"/>
          <w:b/>
          <w:bCs/>
          <w:sz w:val="24"/>
          <w:szCs w:val="24"/>
        </w:rPr>
        <w:t xml:space="preserve">to jest </w:t>
      </w:r>
      <w:r w:rsidRPr="000F3048"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całkowicie bezpieczne i nie zwiększa ryzyka rozwoju powikłań</w:t>
      </w:r>
      <w:r w:rsidRPr="000F3048">
        <w:rPr>
          <w:rFonts w:ascii="Calibri" w:eastAsia="Times New Roman" w:hAnsi="Calibri" w:cs="Calibri"/>
          <w:sz w:val="24"/>
          <w:szCs w:val="24"/>
        </w:rPr>
        <w:t xml:space="preserve"> związanych ze znieczuleniem ogólnym. Wysokowęglowodanowy napój ma dla pacjentów przede wszystkim znaczenie metaboliczne. Według dostępnych publikacji takie postępowanie może </w:t>
      </w:r>
      <w:r w:rsidRPr="000F3048">
        <w:rPr>
          <w:rFonts w:ascii="Calibri" w:eastAsia="Times New Roman" w:hAnsi="Calibri" w:cs="Calibri"/>
          <w:b/>
          <w:bCs/>
          <w:sz w:val="24"/>
          <w:szCs w:val="24"/>
        </w:rPr>
        <w:t>wpływać pozytywnie na zachowanie pierwotnej siły mięśniowej u pacjentów</w:t>
      </w:r>
      <w:r w:rsidRPr="000F3048">
        <w:rPr>
          <w:rFonts w:ascii="Calibri" w:eastAsia="Times New Roman" w:hAnsi="Calibri" w:cs="Calibri"/>
          <w:sz w:val="24"/>
          <w:szCs w:val="24"/>
        </w:rPr>
        <w:t xml:space="preserve">. Dodatkowo może przyspieszać </w:t>
      </w:r>
      <w:r w:rsidRPr="000F3048">
        <w:rPr>
          <w:rFonts w:ascii="Calibri" w:eastAsia="Times New Roman" w:hAnsi="Calibri" w:cs="Calibri"/>
          <w:b/>
          <w:bCs/>
          <w:sz w:val="24"/>
          <w:szCs w:val="24"/>
        </w:rPr>
        <w:t>powrót perystaltyki jelit po zabiegu</w:t>
      </w:r>
      <w:r w:rsidRPr="000F3048">
        <w:rPr>
          <w:rFonts w:ascii="Calibri" w:eastAsia="Times New Roman" w:hAnsi="Calibri" w:cs="Calibri"/>
          <w:sz w:val="24"/>
          <w:szCs w:val="24"/>
        </w:rPr>
        <w:t xml:space="preserve">. Spożycie takiego napoju w dniu zabiegu ma również </w:t>
      </w:r>
      <w:r w:rsidRPr="000F3048">
        <w:rPr>
          <w:rFonts w:ascii="Calibri" w:eastAsia="Times New Roman" w:hAnsi="Calibri" w:cs="Calibri"/>
          <w:b/>
          <w:bCs/>
          <w:sz w:val="24"/>
          <w:szCs w:val="24"/>
        </w:rPr>
        <w:t>zalety psychologiczne,</w:t>
      </w:r>
      <w:r w:rsidRPr="000F3048">
        <w:rPr>
          <w:rFonts w:ascii="Calibri" w:eastAsia="Times New Roman" w:hAnsi="Calibri" w:cs="Calibri"/>
          <w:sz w:val="24"/>
          <w:szCs w:val="24"/>
        </w:rPr>
        <w:t xml:space="preserve"> m.in. zmniejsza lęk pacjenta, może również eliminować dyskomfort związany z odczuciem suchości w ustach. Zaleca się podaż około 400 ml </w:t>
      </w:r>
      <w:proofErr w:type="spellStart"/>
      <w:r w:rsidRPr="000F3048">
        <w:rPr>
          <w:rFonts w:ascii="Calibri" w:eastAsia="Times New Roman" w:hAnsi="Calibri" w:cs="Calibri"/>
          <w:sz w:val="24"/>
          <w:szCs w:val="24"/>
        </w:rPr>
        <w:t>bogatowęglowodanowego</w:t>
      </w:r>
      <w:proofErr w:type="spellEnd"/>
      <w:r w:rsidRPr="000F3048">
        <w:rPr>
          <w:rFonts w:ascii="Calibri" w:eastAsia="Times New Roman" w:hAnsi="Calibri" w:cs="Calibri"/>
          <w:sz w:val="24"/>
          <w:szCs w:val="24"/>
        </w:rPr>
        <w:t xml:space="preserve"> napoju na 2–3 godzin przed planowaną operacją. </w:t>
      </w:r>
      <w:r w:rsidRPr="000F3048">
        <w:rPr>
          <w:rFonts w:ascii="Calibri" w:eastAsia="Times New Roman" w:hAnsi="Calibri" w:cs="Calibri"/>
          <w:b/>
          <w:bCs/>
          <w:sz w:val="24"/>
          <w:szCs w:val="24"/>
        </w:rPr>
        <w:t xml:space="preserve">Jeśli zabieg się opóźnia, pacjent powinien otrzymywać co godzinę 200 ml napoju aż do 2 godzin przed zabiegiem. </w:t>
      </w:r>
    </w:p>
    <w:p w14:paraId="00000009" w14:textId="7E6DAB23" w:rsidR="00447FE9" w:rsidRPr="000F3048" w:rsidRDefault="000F3048">
      <w:pPr>
        <w:spacing w:before="240" w:after="240" w:line="360" w:lineRule="auto"/>
        <w:jc w:val="both"/>
        <w:rPr>
          <w:rFonts w:ascii="Calibri" w:eastAsia="Times New Roman" w:hAnsi="Calibri" w:cs="Calibri"/>
          <w:bCs/>
          <w:sz w:val="24"/>
          <w:szCs w:val="24"/>
        </w:rPr>
      </w:pPr>
      <w:r w:rsidRPr="000F3048">
        <w:rPr>
          <w:rFonts w:ascii="Calibri" w:eastAsia="Times New Roman" w:hAnsi="Calibri" w:cs="Calibri"/>
          <w:bCs/>
          <w:sz w:val="24"/>
          <w:szCs w:val="24"/>
        </w:rPr>
        <w:t>Autorka tekstu: mgr Patrycja Mielniczuk – Kozak, Zakład Żywienia Klinicznego Uniwersytet Medyczny w Lublinie, Dział Dietetyki  USK 4 w Lublinie</w:t>
      </w:r>
    </w:p>
    <w:p w14:paraId="0000000A" w14:textId="247A581A" w:rsidR="00447FE9" w:rsidRPr="000F3048" w:rsidRDefault="000F3048">
      <w:pPr>
        <w:spacing w:before="240" w:after="240"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0F3048">
        <w:rPr>
          <w:rFonts w:ascii="Calibri" w:eastAsia="Times New Roman" w:hAnsi="Calibri" w:cs="Calibri"/>
          <w:sz w:val="24"/>
          <w:szCs w:val="24"/>
        </w:rPr>
        <w:t>Literatura:</w:t>
      </w:r>
    </w:p>
    <w:p w14:paraId="0000000B" w14:textId="77777777" w:rsidR="00447FE9" w:rsidRPr="000F3048" w:rsidRDefault="000F3048" w:rsidP="000F3048">
      <w:pPr>
        <w:widowControl w:val="0"/>
        <w:numPr>
          <w:ilvl w:val="0"/>
          <w:numId w:val="3"/>
        </w:numPr>
        <w:shd w:val="clear" w:color="auto" w:fill="FFFFFF"/>
        <w:spacing w:line="39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0F3048">
        <w:rPr>
          <w:rFonts w:ascii="Calibri" w:eastAsia="Times New Roman" w:hAnsi="Calibri" w:cs="Calibri"/>
          <w:sz w:val="24"/>
          <w:szCs w:val="24"/>
        </w:rPr>
        <w:t xml:space="preserve">Banasiewicz, T., Kobiela, J., Cwaliński J., et al. (2023). Rekomendacje w zakresie stosowania prehabilitacji, czyli kompleksowego przygotowania pacjenta do zabiegu operacyjnego. Pol </w:t>
      </w:r>
      <w:proofErr w:type="spellStart"/>
      <w:r w:rsidRPr="000F3048">
        <w:rPr>
          <w:rFonts w:ascii="Calibri" w:eastAsia="Times New Roman" w:hAnsi="Calibri" w:cs="Calibri"/>
          <w:sz w:val="24"/>
          <w:szCs w:val="24"/>
        </w:rPr>
        <w:t>Przegl</w:t>
      </w:r>
      <w:proofErr w:type="spellEnd"/>
      <w:r w:rsidRPr="000F3048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0F3048">
        <w:rPr>
          <w:rFonts w:ascii="Calibri" w:eastAsia="Times New Roman" w:hAnsi="Calibri" w:cs="Calibri"/>
          <w:sz w:val="24"/>
          <w:szCs w:val="24"/>
        </w:rPr>
        <w:t>Chir</w:t>
      </w:r>
      <w:proofErr w:type="spellEnd"/>
      <w:r w:rsidRPr="000F3048">
        <w:rPr>
          <w:rFonts w:ascii="Calibri" w:eastAsia="Times New Roman" w:hAnsi="Calibri" w:cs="Calibri"/>
          <w:sz w:val="24"/>
          <w:szCs w:val="24"/>
        </w:rPr>
        <w:t>, 95(4), 61-91.</w:t>
      </w:r>
    </w:p>
    <w:p w14:paraId="0000000C" w14:textId="77777777" w:rsidR="00447FE9" w:rsidRPr="000F3048" w:rsidRDefault="000F3048" w:rsidP="000F3048">
      <w:pPr>
        <w:widowControl w:val="0"/>
        <w:numPr>
          <w:ilvl w:val="0"/>
          <w:numId w:val="3"/>
        </w:numPr>
        <w:spacing w:line="360" w:lineRule="auto"/>
        <w:ind w:right="558"/>
        <w:jc w:val="both"/>
        <w:rPr>
          <w:rFonts w:ascii="Calibri" w:eastAsia="Times New Roman" w:hAnsi="Calibri" w:cs="Calibri"/>
          <w:sz w:val="24"/>
          <w:szCs w:val="24"/>
        </w:rPr>
      </w:pPr>
      <w:proofErr w:type="spellStart"/>
      <w:r w:rsidRPr="000F3048">
        <w:rPr>
          <w:rFonts w:ascii="Calibri" w:eastAsia="Times New Roman" w:hAnsi="Calibri" w:cs="Calibri"/>
          <w:sz w:val="24"/>
          <w:szCs w:val="24"/>
        </w:rPr>
        <w:t>Kłęk</w:t>
      </w:r>
      <w:proofErr w:type="spellEnd"/>
      <w:r w:rsidRPr="000F3048">
        <w:rPr>
          <w:rFonts w:ascii="Calibri" w:eastAsia="Times New Roman" w:hAnsi="Calibri" w:cs="Calibri"/>
          <w:sz w:val="24"/>
          <w:szCs w:val="24"/>
        </w:rPr>
        <w:t xml:space="preserve">, S., </w:t>
      </w:r>
      <w:proofErr w:type="spellStart"/>
      <w:r w:rsidRPr="000F3048">
        <w:rPr>
          <w:rFonts w:ascii="Calibri" w:eastAsia="Times New Roman" w:hAnsi="Calibri" w:cs="Calibri"/>
          <w:sz w:val="24"/>
          <w:szCs w:val="24"/>
        </w:rPr>
        <w:t>Rymarowicz</w:t>
      </w:r>
      <w:proofErr w:type="spellEnd"/>
      <w:r w:rsidRPr="000F3048">
        <w:rPr>
          <w:rFonts w:ascii="Calibri" w:eastAsia="Times New Roman" w:hAnsi="Calibri" w:cs="Calibri"/>
          <w:sz w:val="24"/>
          <w:szCs w:val="24"/>
        </w:rPr>
        <w:t xml:space="preserve">, J., Sobocki J., et al. (2023). Wytyczne nowoczesnej opieki okołooperacyjnej dla zabiegów planowych: konsensus panelu ekspertów. Pol </w:t>
      </w:r>
      <w:proofErr w:type="spellStart"/>
      <w:r w:rsidRPr="000F3048">
        <w:rPr>
          <w:rFonts w:ascii="Calibri" w:eastAsia="Times New Roman" w:hAnsi="Calibri" w:cs="Calibri"/>
          <w:sz w:val="24"/>
          <w:szCs w:val="24"/>
        </w:rPr>
        <w:t>Przegl</w:t>
      </w:r>
      <w:proofErr w:type="spellEnd"/>
      <w:r w:rsidRPr="000F3048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0F3048">
        <w:rPr>
          <w:rFonts w:ascii="Calibri" w:eastAsia="Times New Roman" w:hAnsi="Calibri" w:cs="Calibri"/>
          <w:sz w:val="24"/>
          <w:szCs w:val="24"/>
        </w:rPr>
        <w:t>Chir</w:t>
      </w:r>
      <w:proofErr w:type="spellEnd"/>
      <w:r w:rsidRPr="000F3048">
        <w:rPr>
          <w:rFonts w:ascii="Calibri" w:eastAsia="Times New Roman" w:hAnsi="Calibri" w:cs="Calibri"/>
          <w:sz w:val="24"/>
          <w:szCs w:val="24"/>
        </w:rPr>
        <w:t xml:space="preserve">, 95(5), 1-13. </w:t>
      </w:r>
    </w:p>
    <w:p w14:paraId="0000000D" w14:textId="77777777" w:rsidR="00447FE9" w:rsidRPr="000F3048" w:rsidRDefault="000F3048" w:rsidP="000F3048">
      <w:pPr>
        <w:widowControl w:val="0"/>
        <w:numPr>
          <w:ilvl w:val="0"/>
          <w:numId w:val="3"/>
        </w:numPr>
        <w:spacing w:line="360" w:lineRule="auto"/>
        <w:ind w:right="558"/>
        <w:jc w:val="both"/>
        <w:rPr>
          <w:rFonts w:ascii="Calibri" w:eastAsia="Times New Roman" w:hAnsi="Calibri" w:cs="Calibri"/>
          <w:sz w:val="24"/>
          <w:szCs w:val="24"/>
        </w:rPr>
      </w:pPr>
      <w:r w:rsidRPr="000F3048">
        <w:rPr>
          <w:rFonts w:ascii="Calibri" w:eastAsia="Times New Roman" w:hAnsi="Calibri" w:cs="Calibri"/>
          <w:sz w:val="24"/>
          <w:szCs w:val="24"/>
        </w:rPr>
        <w:t>Pisarska M. (2015). Protokół ERAS (</w:t>
      </w:r>
      <w:proofErr w:type="spellStart"/>
      <w:r w:rsidRPr="000F3048">
        <w:rPr>
          <w:rFonts w:ascii="Calibri" w:eastAsia="Times New Roman" w:hAnsi="Calibri" w:cs="Calibri"/>
          <w:i/>
          <w:iCs/>
          <w:sz w:val="24"/>
          <w:szCs w:val="24"/>
        </w:rPr>
        <w:t>enhanced</w:t>
      </w:r>
      <w:proofErr w:type="spellEnd"/>
      <w:r w:rsidRPr="000F3048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proofErr w:type="spellStart"/>
      <w:r w:rsidRPr="000F3048">
        <w:rPr>
          <w:rFonts w:ascii="Calibri" w:eastAsia="Times New Roman" w:hAnsi="Calibri" w:cs="Calibri"/>
          <w:i/>
          <w:iCs/>
          <w:sz w:val="24"/>
          <w:szCs w:val="24"/>
        </w:rPr>
        <w:t>recovery</w:t>
      </w:r>
      <w:proofErr w:type="spellEnd"/>
      <w:r w:rsidRPr="000F3048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proofErr w:type="spellStart"/>
      <w:r w:rsidRPr="000F3048">
        <w:rPr>
          <w:rFonts w:ascii="Calibri" w:eastAsia="Times New Roman" w:hAnsi="Calibri" w:cs="Calibri"/>
          <w:i/>
          <w:iCs/>
          <w:sz w:val="24"/>
          <w:szCs w:val="24"/>
        </w:rPr>
        <w:t>after</w:t>
      </w:r>
      <w:proofErr w:type="spellEnd"/>
      <w:r w:rsidRPr="000F3048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proofErr w:type="spellStart"/>
      <w:r w:rsidRPr="000F3048">
        <w:rPr>
          <w:rFonts w:ascii="Calibri" w:eastAsia="Times New Roman" w:hAnsi="Calibri" w:cs="Calibri"/>
          <w:i/>
          <w:iCs/>
          <w:sz w:val="24"/>
          <w:szCs w:val="24"/>
        </w:rPr>
        <w:t>surgery</w:t>
      </w:r>
      <w:proofErr w:type="spellEnd"/>
      <w:r w:rsidRPr="000F3048">
        <w:rPr>
          <w:rFonts w:ascii="Calibri" w:eastAsia="Times New Roman" w:hAnsi="Calibri" w:cs="Calibri"/>
          <w:sz w:val="24"/>
          <w:szCs w:val="24"/>
        </w:rPr>
        <w:t>) – współczesna kompleksowa formuła opieki okołooperacyjnej dla poprawy wyników leczenia. Medycyna praktyczna. Dostęp z dn. 12.03.2026 r.</w:t>
      </w:r>
    </w:p>
    <w:p w14:paraId="0000000E" w14:textId="77777777" w:rsidR="00447FE9" w:rsidRDefault="00447FE9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447FE9" w:rsidRDefault="000F3048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0" w14:textId="77777777" w:rsidR="00447FE9" w:rsidRDefault="00447FE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447FE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B871931-7C8D-41C8-93C3-096EFF2901A0}"/>
    <w:embedBold r:id="rId2" w:fontKey="{A41EE7A5-9FD6-4A4C-A3E1-6916680949BB}"/>
    <w:embedItalic r:id="rId3" w:fontKey="{8C8CFE9D-A1EA-4B37-B4CF-3576B518A8D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AD6A467-EF8A-4876-8C10-41B66023EA5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E31C73"/>
    <w:multiLevelType w:val="multilevel"/>
    <w:tmpl w:val="2C984F9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7F742C4"/>
    <w:multiLevelType w:val="multilevel"/>
    <w:tmpl w:val="19BA42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AAF4F6A"/>
    <w:multiLevelType w:val="multilevel"/>
    <w:tmpl w:val="9330FF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FE9"/>
    <w:rsid w:val="000956EF"/>
    <w:rsid w:val="000F3048"/>
    <w:rsid w:val="0044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B72F9A-E246-4342-970D-04FE6AB1D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0F30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Nagwek7Znak">
    <w:name w:val="Nagłówek 7 Znak"/>
    <w:basedOn w:val="Domylnaczcionkaakapitu"/>
    <w:link w:val="Nagwek7"/>
    <w:uiPriority w:val="9"/>
    <w:rsid w:val="000F3048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3151</Characters>
  <Application>Microsoft Office Word</Application>
  <DocSecurity>4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Antoń-Jucha Agnieszka</cp:lastModifiedBy>
  <cp:revision>2</cp:revision>
  <dcterms:created xsi:type="dcterms:W3CDTF">2026-03-31T11:51:00Z</dcterms:created>
  <dcterms:modified xsi:type="dcterms:W3CDTF">2026-03-31T11:51:00Z</dcterms:modified>
</cp:coreProperties>
</file>